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0AD" w:rsidRDefault="006260AD" w:rsidP="006260AD">
      <w:pPr>
        <w:keepNext/>
        <w:keepLines/>
        <w:spacing w:before="480" w:after="0" w:line="276" w:lineRule="auto"/>
        <w:outlineLvl w:val="0"/>
        <w:rPr>
          <w:rFonts w:ascii="Arial" w:eastAsia="Calibri" w:hAnsi="Arial" w:cs="Arial"/>
          <w:b/>
          <w:bCs/>
          <w:lang w:val="en-ZA" w:eastAsia="en-ZA"/>
        </w:rPr>
      </w:pPr>
      <w:bookmarkStart w:id="0" w:name="_Toc480517251"/>
      <w:bookmarkStart w:id="1" w:name="_GoBack"/>
      <w:bookmarkEnd w:id="1"/>
    </w:p>
    <w:p w:rsidR="006260AD" w:rsidRDefault="006260AD" w:rsidP="006260AD">
      <w:pPr>
        <w:pStyle w:val="NoSpacing"/>
        <w:rPr>
          <w:lang w:val="en-ZA" w:eastAsia="en-ZA"/>
        </w:rPr>
      </w:pPr>
    </w:p>
    <w:p w:rsidR="006260AD" w:rsidRDefault="006260AD" w:rsidP="006260AD">
      <w:pPr>
        <w:pStyle w:val="NoSpacing"/>
        <w:rPr>
          <w:lang w:val="en-ZA" w:eastAsia="en-ZA"/>
        </w:rPr>
      </w:pPr>
      <w:r>
        <w:rPr>
          <w:noProof/>
          <w:lang w:val="en-ZA" w:eastAsia="en-ZA"/>
        </w:rPr>
        <w:drawing>
          <wp:inline distT="0" distB="0" distL="0" distR="0" wp14:anchorId="01A27A08" wp14:editId="513025A6">
            <wp:extent cx="4218940" cy="1237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8940" cy="1237615"/>
                    </a:xfrm>
                    <a:prstGeom prst="rect">
                      <a:avLst/>
                    </a:prstGeom>
                    <a:noFill/>
                  </pic:spPr>
                </pic:pic>
              </a:graphicData>
            </a:graphic>
          </wp:inline>
        </w:drawing>
      </w:r>
    </w:p>
    <w:p w:rsidR="006260AD" w:rsidRDefault="006260AD" w:rsidP="006260AD">
      <w:pPr>
        <w:keepNext/>
        <w:keepLines/>
        <w:spacing w:before="480" w:after="0" w:line="276" w:lineRule="auto"/>
        <w:outlineLvl w:val="0"/>
        <w:rPr>
          <w:rFonts w:ascii="Arial" w:eastAsia="Calibri" w:hAnsi="Arial" w:cs="Arial"/>
          <w:b/>
          <w:bCs/>
          <w:lang w:val="en-ZA" w:eastAsia="en-ZA"/>
        </w:rPr>
      </w:pPr>
    </w:p>
    <w:p w:rsidR="006260AD" w:rsidRDefault="006260AD" w:rsidP="006260AD">
      <w:pPr>
        <w:keepNext/>
        <w:keepLines/>
        <w:spacing w:before="480" w:after="0" w:line="276" w:lineRule="auto"/>
        <w:outlineLvl w:val="0"/>
        <w:rPr>
          <w:rFonts w:ascii="Arial" w:eastAsia="Calibri" w:hAnsi="Arial" w:cs="Arial"/>
          <w:b/>
          <w:bCs/>
          <w:lang w:val="en-ZA" w:eastAsia="en-ZA"/>
        </w:rPr>
      </w:pPr>
    </w:p>
    <w:p w:rsidR="006260AD" w:rsidRDefault="006260AD" w:rsidP="006260AD">
      <w:pPr>
        <w:keepNext/>
        <w:keepLines/>
        <w:spacing w:before="480" w:after="0" w:line="276" w:lineRule="auto"/>
        <w:outlineLvl w:val="0"/>
        <w:rPr>
          <w:rFonts w:ascii="Arial" w:eastAsia="Calibri" w:hAnsi="Arial" w:cs="Arial"/>
          <w:b/>
          <w:bCs/>
          <w:lang w:val="en-ZA" w:eastAsia="en-ZA"/>
        </w:rPr>
      </w:pPr>
    </w:p>
    <w:p w:rsidR="006260AD" w:rsidRDefault="006260AD" w:rsidP="006260AD">
      <w:pPr>
        <w:keepNext/>
        <w:keepLines/>
        <w:spacing w:before="480" w:after="0" w:line="276" w:lineRule="auto"/>
        <w:outlineLvl w:val="0"/>
        <w:rPr>
          <w:rFonts w:ascii="Arial" w:eastAsia="Calibri" w:hAnsi="Arial" w:cs="Arial"/>
          <w:b/>
          <w:bCs/>
          <w:lang w:val="en-ZA" w:eastAsia="en-ZA"/>
        </w:rPr>
      </w:pPr>
    </w:p>
    <w:p w:rsidR="006260AD" w:rsidRDefault="006260AD" w:rsidP="006260AD">
      <w:pPr>
        <w:keepNext/>
        <w:keepLines/>
        <w:spacing w:before="480" w:after="0" w:line="276" w:lineRule="auto"/>
        <w:outlineLvl w:val="0"/>
        <w:rPr>
          <w:rFonts w:ascii="Arial" w:eastAsia="Calibri" w:hAnsi="Arial" w:cs="Arial"/>
          <w:b/>
          <w:bCs/>
          <w:lang w:val="en-ZA" w:eastAsia="en-ZA"/>
        </w:rPr>
      </w:pPr>
    </w:p>
    <w:tbl>
      <w:tblPr>
        <w:tblStyle w:val="TableGrid"/>
        <w:tblW w:w="0" w:type="auto"/>
        <w:tblLook w:val="04A0" w:firstRow="1" w:lastRow="0" w:firstColumn="1" w:lastColumn="0" w:noHBand="0" w:noVBand="1"/>
      </w:tblPr>
      <w:tblGrid>
        <w:gridCol w:w="9350"/>
      </w:tblGrid>
      <w:tr w:rsidR="006260AD" w:rsidTr="006260AD">
        <w:tc>
          <w:tcPr>
            <w:tcW w:w="9350" w:type="dxa"/>
          </w:tcPr>
          <w:p w:rsidR="006260AD" w:rsidRDefault="006260AD" w:rsidP="006260AD">
            <w:pPr>
              <w:pStyle w:val="NoSpacing"/>
              <w:spacing w:line="360" w:lineRule="auto"/>
              <w:jc w:val="center"/>
              <w:rPr>
                <w:b/>
                <w:sz w:val="28"/>
                <w:szCs w:val="28"/>
                <w:lang w:val="en-ZA" w:eastAsia="en-ZA"/>
              </w:rPr>
            </w:pPr>
          </w:p>
          <w:p w:rsidR="006260AD" w:rsidRDefault="006260AD" w:rsidP="006260AD">
            <w:pPr>
              <w:pStyle w:val="NoSpacing"/>
              <w:spacing w:line="360" w:lineRule="auto"/>
              <w:jc w:val="center"/>
              <w:rPr>
                <w:b/>
                <w:sz w:val="28"/>
                <w:szCs w:val="28"/>
                <w:lang w:val="en-ZA" w:eastAsia="en-ZA"/>
              </w:rPr>
            </w:pPr>
            <w:r w:rsidRPr="006260AD">
              <w:rPr>
                <w:b/>
                <w:sz w:val="28"/>
                <w:szCs w:val="28"/>
                <w:lang w:val="en-ZA" w:eastAsia="en-ZA"/>
              </w:rPr>
              <w:t xml:space="preserve">THE NAB WRITTEN SUBMISSION ON ICASA’S DRAFT REGULATIONS </w:t>
            </w:r>
          </w:p>
          <w:p w:rsidR="006260AD" w:rsidRPr="006260AD" w:rsidRDefault="006260AD" w:rsidP="006260AD">
            <w:pPr>
              <w:pStyle w:val="NoSpacing"/>
              <w:spacing w:line="360" w:lineRule="auto"/>
              <w:jc w:val="center"/>
              <w:rPr>
                <w:b/>
                <w:sz w:val="28"/>
                <w:szCs w:val="28"/>
                <w:lang w:val="en-ZA" w:eastAsia="en-ZA"/>
              </w:rPr>
            </w:pPr>
            <w:r w:rsidRPr="006260AD">
              <w:rPr>
                <w:b/>
                <w:sz w:val="28"/>
                <w:szCs w:val="28"/>
                <w:lang w:val="en-ZA" w:eastAsia="en-ZA"/>
              </w:rPr>
              <w:t>ON THE USE OF TELEVISION WHITESPACES</w:t>
            </w:r>
          </w:p>
          <w:p w:rsidR="006260AD" w:rsidRDefault="006260AD" w:rsidP="006260AD">
            <w:pPr>
              <w:pStyle w:val="NoSpacing"/>
              <w:spacing w:line="360" w:lineRule="auto"/>
              <w:jc w:val="center"/>
              <w:rPr>
                <w:b/>
                <w:sz w:val="28"/>
                <w:szCs w:val="28"/>
                <w:lang w:val="en-ZA" w:eastAsia="en-ZA"/>
              </w:rPr>
            </w:pPr>
            <w:r w:rsidRPr="006260AD">
              <w:rPr>
                <w:b/>
                <w:sz w:val="28"/>
                <w:szCs w:val="28"/>
                <w:lang w:val="en-ZA" w:eastAsia="en-ZA"/>
              </w:rPr>
              <w:t>19 MAY 2017</w:t>
            </w:r>
          </w:p>
          <w:p w:rsidR="006260AD" w:rsidRDefault="006260AD" w:rsidP="006260AD">
            <w:pPr>
              <w:pStyle w:val="NoSpacing"/>
              <w:spacing w:line="360" w:lineRule="auto"/>
              <w:jc w:val="center"/>
              <w:rPr>
                <w:lang w:val="en-ZA" w:eastAsia="en-ZA"/>
              </w:rPr>
            </w:pPr>
          </w:p>
        </w:tc>
      </w:tr>
    </w:tbl>
    <w:p w:rsidR="006260AD" w:rsidRDefault="006260AD" w:rsidP="006260AD">
      <w:pPr>
        <w:keepNext/>
        <w:keepLines/>
        <w:spacing w:before="480" w:after="0" w:line="276" w:lineRule="auto"/>
        <w:outlineLvl w:val="0"/>
        <w:rPr>
          <w:rFonts w:ascii="Arial" w:eastAsia="Calibri" w:hAnsi="Arial" w:cs="Arial"/>
          <w:b/>
          <w:bCs/>
          <w:lang w:val="en-ZA" w:eastAsia="en-ZA"/>
        </w:rPr>
      </w:pPr>
    </w:p>
    <w:p w:rsidR="006260AD" w:rsidRDefault="006260AD">
      <w:pPr>
        <w:pStyle w:val="TOCHeading"/>
      </w:pPr>
    </w:p>
    <w:p w:rsidR="006260AD" w:rsidRDefault="006260AD">
      <w:pPr>
        <w:pStyle w:val="TOCHeading"/>
      </w:pPr>
    </w:p>
    <w:p w:rsidR="00AA68D6" w:rsidRDefault="00AA68D6" w:rsidP="00AA68D6"/>
    <w:p w:rsidR="00AA68D6" w:rsidRPr="00AA68D6" w:rsidRDefault="00AA68D6" w:rsidP="00AA68D6"/>
    <w:p w:rsidR="006260AD" w:rsidRPr="00AA68D6" w:rsidRDefault="006260AD" w:rsidP="00AA68D6">
      <w:pPr>
        <w:pStyle w:val="TOCHeading"/>
        <w:spacing w:line="360" w:lineRule="auto"/>
        <w:jc w:val="both"/>
        <w:rPr>
          <w:rFonts w:ascii="Arial" w:hAnsi="Arial" w:cs="Arial"/>
          <w:color w:val="auto"/>
          <w:sz w:val="22"/>
          <w:szCs w:val="22"/>
        </w:rPr>
      </w:pPr>
    </w:p>
    <w:sdt>
      <w:sdtPr>
        <w:rPr>
          <w:rFonts w:ascii="Arial" w:eastAsiaTheme="minorHAnsi" w:hAnsi="Arial" w:cs="Arial"/>
          <w:color w:val="auto"/>
          <w:sz w:val="22"/>
          <w:szCs w:val="22"/>
        </w:rPr>
        <w:id w:val="160516896"/>
        <w:docPartObj>
          <w:docPartGallery w:val="Table of Contents"/>
          <w:docPartUnique/>
        </w:docPartObj>
      </w:sdtPr>
      <w:sdtEndPr>
        <w:rPr>
          <w:b/>
          <w:bCs/>
          <w:noProof/>
        </w:rPr>
      </w:sdtEndPr>
      <w:sdtContent>
        <w:p w:rsidR="006260AD" w:rsidRPr="00AA68D6" w:rsidRDefault="006260AD" w:rsidP="00552EEC">
          <w:pPr>
            <w:pStyle w:val="TOCHeading"/>
            <w:spacing w:line="360" w:lineRule="auto"/>
            <w:jc w:val="both"/>
            <w:rPr>
              <w:rFonts w:ascii="Arial" w:hAnsi="Arial" w:cs="Arial"/>
              <w:color w:val="auto"/>
              <w:sz w:val="22"/>
              <w:szCs w:val="22"/>
            </w:rPr>
          </w:pPr>
          <w:r w:rsidRPr="00AA68D6">
            <w:rPr>
              <w:rFonts w:ascii="Arial" w:hAnsi="Arial" w:cs="Arial"/>
              <w:color w:val="auto"/>
              <w:sz w:val="22"/>
              <w:szCs w:val="22"/>
            </w:rPr>
            <w:t>Contents</w:t>
          </w:r>
        </w:p>
        <w:p w:rsidR="00212139" w:rsidRDefault="006260AD" w:rsidP="00552EEC">
          <w:pPr>
            <w:pStyle w:val="TOC1"/>
            <w:tabs>
              <w:tab w:val="left" w:pos="440"/>
              <w:tab w:val="right" w:leader="dot" w:pos="9350"/>
            </w:tabs>
            <w:spacing w:line="360" w:lineRule="auto"/>
            <w:rPr>
              <w:rFonts w:eastAsiaTheme="minorEastAsia"/>
              <w:noProof/>
              <w:lang w:val="en-ZA" w:eastAsia="en-ZA"/>
            </w:rPr>
          </w:pPr>
          <w:r w:rsidRPr="00AA68D6">
            <w:rPr>
              <w:rFonts w:ascii="Arial" w:hAnsi="Arial" w:cs="Arial"/>
            </w:rPr>
            <w:fldChar w:fldCharType="begin"/>
          </w:r>
          <w:r w:rsidRPr="00AA68D6">
            <w:rPr>
              <w:rFonts w:ascii="Arial" w:hAnsi="Arial" w:cs="Arial"/>
            </w:rPr>
            <w:instrText xml:space="preserve"> TOC \o "1-3" \h \z \u </w:instrText>
          </w:r>
          <w:r w:rsidRPr="00AA68D6">
            <w:rPr>
              <w:rFonts w:ascii="Arial" w:hAnsi="Arial" w:cs="Arial"/>
            </w:rPr>
            <w:fldChar w:fldCharType="separate"/>
          </w:r>
          <w:hyperlink w:anchor="_Toc482112057" w:history="1">
            <w:r w:rsidR="00212139" w:rsidRPr="00610C5C">
              <w:rPr>
                <w:rStyle w:val="Hyperlink"/>
                <w:rFonts w:ascii="Arial" w:eastAsia="Calibri" w:hAnsi="Arial" w:cs="Arial"/>
                <w:noProof/>
                <w:lang w:val="en-ZA" w:eastAsia="en-ZA"/>
              </w:rPr>
              <w:t>1.</w:t>
            </w:r>
            <w:r w:rsidR="00212139">
              <w:rPr>
                <w:rFonts w:eastAsiaTheme="minorEastAsia"/>
                <w:noProof/>
                <w:lang w:val="en-ZA" w:eastAsia="en-ZA"/>
              </w:rPr>
              <w:tab/>
            </w:r>
            <w:r w:rsidR="00212139" w:rsidRPr="00610C5C">
              <w:rPr>
                <w:rStyle w:val="Hyperlink"/>
                <w:rFonts w:ascii="Arial" w:eastAsia="Calibri" w:hAnsi="Arial" w:cs="Arial"/>
                <w:noProof/>
                <w:lang w:val="en-ZA" w:eastAsia="en-ZA"/>
              </w:rPr>
              <w:t>INTRODUCTION</w:t>
            </w:r>
            <w:r w:rsidR="00212139">
              <w:rPr>
                <w:noProof/>
                <w:webHidden/>
              </w:rPr>
              <w:tab/>
            </w:r>
            <w:r w:rsidR="00212139">
              <w:rPr>
                <w:noProof/>
                <w:webHidden/>
              </w:rPr>
              <w:fldChar w:fldCharType="begin"/>
            </w:r>
            <w:r w:rsidR="00212139">
              <w:rPr>
                <w:noProof/>
                <w:webHidden/>
              </w:rPr>
              <w:instrText xml:space="preserve"> PAGEREF _Toc482112057 \h </w:instrText>
            </w:r>
            <w:r w:rsidR="00212139">
              <w:rPr>
                <w:noProof/>
                <w:webHidden/>
              </w:rPr>
            </w:r>
            <w:r w:rsidR="00212139">
              <w:rPr>
                <w:noProof/>
                <w:webHidden/>
              </w:rPr>
              <w:fldChar w:fldCharType="separate"/>
            </w:r>
            <w:r w:rsidR="00212139">
              <w:rPr>
                <w:noProof/>
                <w:webHidden/>
              </w:rPr>
              <w:t>3</w:t>
            </w:r>
            <w:r w:rsidR="00212139">
              <w:rPr>
                <w:noProof/>
                <w:webHidden/>
              </w:rPr>
              <w:fldChar w:fldCharType="end"/>
            </w:r>
          </w:hyperlink>
        </w:p>
        <w:p w:rsidR="00212139" w:rsidRDefault="00CA4A22" w:rsidP="00552EEC">
          <w:pPr>
            <w:pStyle w:val="TOC1"/>
            <w:tabs>
              <w:tab w:val="left" w:pos="440"/>
              <w:tab w:val="right" w:leader="dot" w:pos="9350"/>
            </w:tabs>
            <w:spacing w:line="360" w:lineRule="auto"/>
            <w:rPr>
              <w:rFonts w:eastAsiaTheme="minorEastAsia"/>
              <w:noProof/>
              <w:lang w:val="en-ZA" w:eastAsia="en-ZA"/>
            </w:rPr>
          </w:pPr>
          <w:hyperlink w:anchor="_Toc482112058" w:history="1">
            <w:r w:rsidR="00212139" w:rsidRPr="00610C5C">
              <w:rPr>
                <w:rStyle w:val="Hyperlink"/>
                <w:rFonts w:ascii="Arial" w:eastAsia="Calibri" w:hAnsi="Arial" w:cs="Arial"/>
                <w:noProof/>
                <w:lang w:val="en-ZA" w:eastAsia="en-ZA"/>
              </w:rPr>
              <w:t>2.</w:t>
            </w:r>
            <w:r w:rsidR="00212139">
              <w:rPr>
                <w:rFonts w:eastAsiaTheme="minorEastAsia"/>
                <w:noProof/>
                <w:lang w:val="en-ZA" w:eastAsia="en-ZA"/>
              </w:rPr>
              <w:tab/>
            </w:r>
            <w:r w:rsidR="00212139" w:rsidRPr="00610C5C">
              <w:rPr>
                <w:rStyle w:val="Hyperlink"/>
                <w:rFonts w:ascii="Arial" w:eastAsia="Calibri" w:hAnsi="Arial" w:cs="Arial"/>
                <w:noProof/>
                <w:lang w:val="en-ZA" w:eastAsia="en-ZA"/>
              </w:rPr>
              <w:t>PROCEDURAL CONCERNS</w:t>
            </w:r>
            <w:r w:rsidR="00212139">
              <w:rPr>
                <w:noProof/>
                <w:webHidden/>
              </w:rPr>
              <w:tab/>
            </w:r>
            <w:r w:rsidR="00212139">
              <w:rPr>
                <w:noProof/>
                <w:webHidden/>
              </w:rPr>
              <w:fldChar w:fldCharType="begin"/>
            </w:r>
            <w:r w:rsidR="00212139">
              <w:rPr>
                <w:noProof/>
                <w:webHidden/>
              </w:rPr>
              <w:instrText xml:space="preserve"> PAGEREF _Toc482112058 \h </w:instrText>
            </w:r>
            <w:r w:rsidR="00212139">
              <w:rPr>
                <w:noProof/>
                <w:webHidden/>
              </w:rPr>
            </w:r>
            <w:r w:rsidR="00212139">
              <w:rPr>
                <w:noProof/>
                <w:webHidden/>
              </w:rPr>
              <w:fldChar w:fldCharType="separate"/>
            </w:r>
            <w:r w:rsidR="00212139">
              <w:rPr>
                <w:noProof/>
                <w:webHidden/>
              </w:rPr>
              <w:t>4</w:t>
            </w:r>
            <w:r w:rsidR="00212139">
              <w:rPr>
                <w:noProof/>
                <w:webHidden/>
              </w:rPr>
              <w:fldChar w:fldCharType="end"/>
            </w:r>
          </w:hyperlink>
        </w:p>
        <w:p w:rsidR="00212139" w:rsidRDefault="00CA4A22" w:rsidP="00552EEC">
          <w:pPr>
            <w:pStyle w:val="TOC1"/>
            <w:tabs>
              <w:tab w:val="left" w:pos="440"/>
              <w:tab w:val="right" w:leader="dot" w:pos="9350"/>
            </w:tabs>
            <w:spacing w:line="360" w:lineRule="auto"/>
            <w:rPr>
              <w:rFonts w:eastAsiaTheme="minorEastAsia"/>
              <w:noProof/>
              <w:lang w:val="en-ZA" w:eastAsia="en-ZA"/>
            </w:rPr>
          </w:pPr>
          <w:hyperlink w:anchor="_Toc482112059" w:history="1">
            <w:r w:rsidR="00212139" w:rsidRPr="00610C5C">
              <w:rPr>
                <w:rStyle w:val="Hyperlink"/>
                <w:rFonts w:ascii="Arial" w:hAnsi="Arial" w:cs="Arial"/>
                <w:noProof/>
                <w:lang w:val="en-ZA" w:eastAsia="en-ZA"/>
              </w:rPr>
              <w:t>3.</w:t>
            </w:r>
            <w:r w:rsidR="00212139">
              <w:rPr>
                <w:rFonts w:eastAsiaTheme="minorEastAsia"/>
                <w:noProof/>
                <w:lang w:val="en-ZA" w:eastAsia="en-ZA"/>
              </w:rPr>
              <w:tab/>
            </w:r>
            <w:r w:rsidR="00212139" w:rsidRPr="00610C5C">
              <w:rPr>
                <w:rStyle w:val="Hyperlink"/>
                <w:rFonts w:ascii="Arial" w:hAnsi="Arial" w:cs="Arial"/>
                <w:noProof/>
                <w:lang w:val="en-ZA" w:eastAsia="en-ZA"/>
              </w:rPr>
              <w:t>CONCERNS ON THE REGULATIONS</w:t>
            </w:r>
            <w:r w:rsidR="00212139">
              <w:rPr>
                <w:noProof/>
                <w:webHidden/>
              </w:rPr>
              <w:tab/>
            </w:r>
            <w:r w:rsidR="00212139">
              <w:rPr>
                <w:noProof/>
                <w:webHidden/>
              </w:rPr>
              <w:fldChar w:fldCharType="begin"/>
            </w:r>
            <w:r w:rsidR="00212139">
              <w:rPr>
                <w:noProof/>
                <w:webHidden/>
              </w:rPr>
              <w:instrText xml:space="preserve"> PAGEREF _Toc482112059 \h </w:instrText>
            </w:r>
            <w:r w:rsidR="00212139">
              <w:rPr>
                <w:noProof/>
                <w:webHidden/>
              </w:rPr>
            </w:r>
            <w:r w:rsidR="00212139">
              <w:rPr>
                <w:noProof/>
                <w:webHidden/>
              </w:rPr>
              <w:fldChar w:fldCharType="separate"/>
            </w:r>
            <w:r w:rsidR="00212139">
              <w:rPr>
                <w:noProof/>
                <w:webHidden/>
              </w:rPr>
              <w:t>6</w:t>
            </w:r>
            <w:r w:rsidR="00212139">
              <w:rPr>
                <w:noProof/>
                <w:webHidden/>
              </w:rPr>
              <w:fldChar w:fldCharType="end"/>
            </w:r>
          </w:hyperlink>
        </w:p>
        <w:p w:rsidR="00212139" w:rsidRDefault="00CA4A22" w:rsidP="00552EEC">
          <w:pPr>
            <w:pStyle w:val="TOC2"/>
            <w:tabs>
              <w:tab w:val="left" w:pos="880"/>
              <w:tab w:val="right" w:leader="dot" w:pos="9350"/>
            </w:tabs>
            <w:spacing w:line="360" w:lineRule="auto"/>
            <w:rPr>
              <w:noProof/>
            </w:rPr>
          </w:pPr>
          <w:hyperlink w:anchor="_Toc482112060" w:history="1">
            <w:r w:rsidR="00212139" w:rsidRPr="00610C5C">
              <w:rPr>
                <w:rStyle w:val="Hyperlink"/>
                <w:rFonts w:ascii="Arial" w:hAnsi="Arial" w:cs="Arial"/>
                <w:noProof/>
                <w:lang w:val="en-ZA" w:eastAsia="en-ZA"/>
              </w:rPr>
              <w:t>3.1.</w:t>
            </w:r>
            <w:r w:rsidR="00212139">
              <w:rPr>
                <w:noProof/>
              </w:rPr>
              <w:tab/>
            </w:r>
            <w:r w:rsidR="00212139" w:rsidRPr="00610C5C">
              <w:rPr>
                <w:rStyle w:val="Hyperlink"/>
                <w:rFonts w:ascii="Arial" w:hAnsi="Arial" w:cs="Arial"/>
                <w:noProof/>
                <w:lang w:val="en-ZA" w:eastAsia="en-ZA"/>
              </w:rPr>
              <w:t>The protection of primary users and interface monitoring</w:t>
            </w:r>
            <w:r w:rsidR="00212139">
              <w:rPr>
                <w:noProof/>
                <w:webHidden/>
              </w:rPr>
              <w:tab/>
            </w:r>
            <w:r w:rsidR="00212139">
              <w:rPr>
                <w:noProof/>
                <w:webHidden/>
              </w:rPr>
              <w:fldChar w:fldCharType="begin"/>
            </w:r>
            <w:r w:rsidR="00212139">
              <w:rPr>
                <w:noProof/>
                <w:webHidden/>
              </w:rPr>
              <w:instrText xml:space="preserve"> PAGEREF _Toc482112060 \h </w:instrText>
            </w:r>
            <w:r w:rsidR="00212139">
              <w:rPr>
                <w:noProof/>
                <w:webHidden/>
              </w:rPr>
            </w:r>
            <w:r w:rsidR="00212139">
              <w:rPr>
                <w:noProof/>
                <w:webHidden/>
              </w:rPr>
              <w:fldChar w:fldCharType="separate"/>
            </w:r>
            <w:r w:rsidR="00212139">
              <w:rPr>
                <w:noProof/>
                <w:webHidden/>
              </w:rPr>
              <w:t>6</w:t>
            </w:r>
            <w:r w:rsidR="00212139">
              <w:rPr>
                <w:noProof/>
                <w:webHidden/>
              </w:rPr>
              <w:fldChar w:fldCharType="end"/>
            </w:r>
          </w:hyperlink>
        </w:p>
        <w:p w:rsidR="00212139" w:rsidRDefault="00CA4A22" w:rsidP="00552EEC">
          <w:pPr>
            <w:pStyle w:val="TOC2"/>
            <w:tabs>
              <w:tab w:val="left" w:pos="880"/>
              <w:tab w:val="right" w:leader="dot" w:pos="9350"/>
            </w:tabs>
            <w:spacing w:line="360" w:lineRule="auto"/>
            <w:rPr>
              <w:noProof/>
            </w:rPr>
          </w:pPr>
          <w:hyperlink w:anchor="_Toc482112061" w:history="1">
            <w:r w:rsidR="00212139" w:rsidRPr="00610C5C">
              <w:rPr>
                <w:rStyle w:val="Hyperlink"/>
                <w:rFonts w:ascii="Arial" w:hAnsi="Arial" w:cs="Arial"/>
                <w:noProof/>
                <w:lang w:val="en-ZA" w:eastAsia="en-ZA"/>
              </w:rPr>
              <w:t>3.2.</w:t>
            </w:r>
            <w:r w:rsidR="00212139">
              <w:rPr>
                <w:noProof/>
              </w:rPr>
              <w:tab/>
            </w:r>
            <w:r w:rsidR="00212139" w:rsidRPr="00610C5C">
              <w:rPr>
                <w:rStyle w:val="Hyperlink"/>
                <w:rFonts w:ascii="Arial" w:hAnsi="Arial" w:cs="Arial"/>
                <w:noProof/>
                <w:lang w:val="en-ZA" w:eastAsia="en-ZA"/>
              </w:rPr>
              <w:t>The geo-location spectrum database</w:t>
            </w:r>
            <w:r w:rsidR="00212139">
              <w:rPr>
                <w:noProof/>
                <w:webHidden/>
              </w:rPr>
              <w:tab/>
            </w:r>
            <w:r w:rsidR="00212139">
              <w:rPr>
                <w:noProof/>
                <w:webHidden/>
              </w:rPr>
              <w:fldChar w:fldCharType="begin"/>
            </w:r>
            <w:r w:rsidR="00212139">
              <w:rPr>
                <w:noProof/>
                <w:webHidden/>
              </w:rPr>
              <w:instrText xml:space="preserve"> PAGEREF _Toc482112061 \h </w:instrText>
            </w:r>
            <w:r w:rsidR="00212139">
              <w:rPr>
                <w:noProof/>
                <w:webHidden/>
              </w:rPr>
            </w:r>
            <w:r w:rsidR="00212139">
              <w:rPr>
                <w:noProof/>
                <w:webHidden/>
              </w:rPr>
              <w:fldChar w:fldCharType="separate"/>
            </w:r>
            <w:r w:rsidR="00212139">
              <w:rPr>
                <w:noProof/>
                <w:webHidden/>
              </w:rPr>
              <w:t>7</w:t>
            </w:r>
            <w:r w:rsidR="00212139">
              <w:rPr>
                <w:noProof/>
                <w:webHidden/>
              </w:rPr>
              <w:fldChar w:fldCharType="end"/>
            </w:r>
          </w:hyperlink>
        </w:p>
        <w:p w:rsidR="00212139" w:rsidRDefault="00CA4A22" w:rsidP="00552EEC">
          <w:pPr>
            <w:pStyle w:val="TOC2"/>
            <w:tabs>
              <w:tab w:val="left" w:pos="880"/>
              <w:tab w:val="right" w:leader="dot" w:pos="9350"/>
            </w:tabs>
            <w:spacing w:line="360" w:lineRule="auto"/>
            <w:rPr>
              <w:noProof/>
            </w:rPr>
          </w:pPr>
          <w:hyperlink w:anchor="_Toc482112062" w:history="1">
            <w:r w:rsidR="00212139" w:rsidRPr="00610C5C">
              <w:rPr>
                <w:rStyle w:val="Hyperlink"/>
                <w:rFonts w:ascii="Arial" w:hAnsi="Arial" w:cs="Arial"/>
                <w:noProof/>
                <w:lang w:val="en-ZA" w:eastAsia="en-ZA"/>
              </w:rPr>
              <w:t>3.3.</w:t>
            </w:r>
            <w:r w:rsidR="00212139">
              <w:rPr>
                <w:noProof/>
              </w:rPr>
              <w:tab/>
            </w:r>
            <w:r w:rsidR="00212139" w:rsidRPr="00610C5C">
              <w:rPr>
                <w:rStyle w:val="Hyperlink"/>
                <w:rFonts w:ascii="Arial" w:hAnsi="Arial" w:cs="Arial"/>
                <w:noProof/>
                <w:lang w:val="en-ZA" w:eastAsia="en-ZA"/>
              </w:rPr>
              <w:t>The geo-location spectrum database operator</w:t>
            </w:r>
            <w:r w:rsidR="00212139">
              <w:rPr>
                <w:noProof/>
                <w:webHidden/>
              </w:rPr>
              <w:tab/>
            </w:r>
            <w:r w:rsidR="00212139">
              <w:rPr>
                <w:noProof/>
                <w:webHidden/>
              </w:rPr>
              <w:fldChar w:fldCharType="begin"/>
            </w:r>
            <w:r w:rsidR="00212139">
              <w:rPr>
                <w:noProof/>
                <w:webHidden/>
              </w:rPr>
              <w:instrText xml:space="preserve"> PAGEREF _Toc482112062 \h </w:instrText>
            </w:r>
            <w:r w:rsidR="00212139">
              <w:rPr>
                <w:noProof/>
                <w:webHidden/>
              </w:rPr>
            </w:r>
            <w:r w:rsidR="00212139">
              <w:rPr>
                <w:noProof/>
                <w:webHidden/>
              </w:rPr>
              <w:fldChar w:fldCharType="separate"/>
            </w:r>
            <w:r w:rsidR="00212139">
              <w:rPr>
                <w:noProof/>
                <w:webHidden/>
              </w:rPr>
              <w:t>8</w:t>
            </w:r>
            <w:r w:rsidR="00212139">
              <w:rPr>
                <w:noProof/>
                <w:webHidden/>
              </w:rPr>
              <w:fldChar w:fldCharType="end"/>
            </w:r>
          </w:hyperlink>
        </w:p>
        <w:p w:rsidR="00212139" w:rsidRDefault="00CA4A22" w:rsidP="00552EEC">
          <w:pPr>
            <w:pStyle w:val="TOC2"/>
            <w:tabs>
              <w:tab w:val="left" w:pos="880"/>
              <w:tab w:val="right" w:leader="dot" w:pos="9350"/>
            </w:tabs>
            <w:spacing w:line="360" w:lineRule="auto"/>
            <w:rPr>
              <w:noProof/>
            </w:rPr>
          </w:pPr>
          <w:hyperlink w:anchor="_Toc482112063" w:history="1">
            <w:r w:rsidR="00212139" w:rsidRPr="00610C5C">
              <w:rPr>
                <w:rStyle w:val="Hyperlink"/>
                <w:rFonts w:ascii="Arial" w:hAnsi="Arial" w:cs="Arial"/>
                <w:noProof/>
                <w:lang w:val="en-ZA" w:eastAsia="en-ZA"/>
              </w:rPr>
              <w:t>3.4.</w:t>
            </w:r>
            <w:r w:rsidR="00212139">
              <w:rPr>
                <w:noProof/>
              </w:rPr>
              <w:tab/>
            </w:r>
            <w:r w:rsidR="00212139" w:rsidRPr="00610C5C">
              <w:rPr>
                <w:rStyle w:val="Hyperlink"/>
                <w:rFonts w:ascii="Arial" w:hAnsi="Arial" w:cs="Arial"/>
                <w:noProof/>
                <w:lang w:val="en-ZA" w:eastAsia="en-ZA"/>
              </w:rPr>
              <w:t>Offences, contraventions and penalties clause</w:t>
            </w:r>
            <w:r w:rsidR="00212139">
              <w:rPr>
                <w:noProof/>
                <w:webHidden/>
              </w:rPr>
              <w:tab/>
            </w:r>
            <w:r w:rsidR="00212139">
              <w:rPr>
                <w:noProof/>
                <w:webHidden/>
              </w:rPr>
              <w:fldChar w:fldCharType="begin"/>
            </w:r>
            <w:r w:rsidR="00212139">
              <w:rPr>
                <w:noProof/>
                <w:webHidden/>
              </w:rPr>
              <w:instrText xml:space="preserve"> PAGEREF _Toc482112063 \h </w:instrText>
            </w:r>
            <w:r w:rsidR="00212139">
              <w:rPr>
                <w:noProof/>
                <w:webHidden/>
              </w:rPr>
            </w:r>
            <w:r w:rsidR="00212139">
              <w:rPr>
                <w:noProof/>
                <w:webHidden/>
              </w:rPr>
              <w:fldChar w:fldCharType="separate"/>
            </w:r>
            <w:r w:rsidR="00212139">
              <w:rPr>
                <w:noProof/>
                <w:webHidden/>
              </w:rPr>
              <w:t>8</w:t>
            </w:r>
            <w:r w:rsidR="00212139">
              <w:rPr>
                <w:noProof/>
                <w:webHidden/>
              </w:rPr>
              <w:fldChar w:fldCharType="end"/>
            </w:r>
          </w:hyperlink>
        </w:p>
        <w:p w:rsidR="00212139" w:rsidRDefault="00CA4A22" w:rsidP="00552EEC">
          <w:pPr>
            <w:pStyle w:val="TOC2"/>
            <w:tabs>
              <w:tab w:val="left" w:pos="880"/>
              <w:tab w:val="right" w:leader="dot" w:pos="9350"/>
            </w:tabs>
            <w:spacing w:line="360" w:lineRule="auto"/>
            <w:rPr>
              <w:noProof/>
            </w:rPr>
          </w:pPr>
          <w:hyperlink w:anchor="_Toc482112064" w:history="1">
            <w:r w:rsidR="00212139" w:rsidRPr="00610C5C">
              <w:rPr>
                <w:rStyle w:val="Hyperlink"/>
                <w:rFonts w:ascii="Arial" w:hAnsi="Arial" w:cs="Arial"/>
                <w:noProof/>
                <w:lang w:val="en-ZA" w:eastAsia="en-ZA"/>
              </w:rPr>
              <w:t>3.5.</w:t>
            </w:r>
            <w:r w:rsidR="00212139">
              <w:rPr>
                <w:noProof/>
              </w:rPr>
              <w:tab/>
            </w:r>
            <w:r w:rsidR="00212139" w:rsidRPr="00610C5C">
              <w:rPr>
                <w:rStyle w:val="Hyperlink"/>
                <w:rFonts w:ascii="Arial" w:hAnsi="Arial" w:cs="Arial"/>
                <w:noProof/>
                <w:lang w:val="en-ZA" w:eastAsia="en-ZA"/>
              </w:rPr>
              <w:t>Short title and commencement</w:t>
            </w:r>
            <w:r w:rsidR="00212139">
              <w:rPr>
                <w:noProof/>
                <w:webHidden/>
              </w:rPr>
              <w:tab/>
            </w:r>
            <w:r w:rsidR="00212139">
              <w:rPr>
                <w:noProof/>
                <w:webHidden/>
              </w:rPr>
              <w:fldChar w:fldCharType="begin"/>
            </w:r>
            <w:r w:rsidR="00212139">
              <w:rPr>
                <w:noProof/>
                <w:webHidden/>
              </w:rPr>
              <w:instrText xml:space="preserve"> PAGEREF _Toc482112064 \h </w:instrText>
            </w:r>
            <w:r w:rsidR="00212139">
              <w:rPr>
                <w:noProof/>
                <w:webHidden/>
              </w:rPr>
            </w:r>
            <w:r w:rsidR="00212139">
              <w:rPr>
                <w:noProof/>
                <w:webHidden/>
              </w:rPr>
              <w:fldChar w:fldCharType="separate"/>
            </w:r>
            <w:r w:rsidR="00212139">
              <w:rPr>
                <w:noProof/>
                <w:webHidden/>
              </w:rPr>
              <w:t>9</w:t>
            </w:r>
            <w:r w:rsidR="00212139">
              <w:rPr>
                <w:noProof/>
                <w:webHidden/>
              </w:rPr>
              <w:fldChar w:fldCharType="end"/>
            </w:r>
          </w:hyperlink>
        </w:p>
        <w:p w:rsidR="00212139" w:rsidRDefault="00CA4A22" w:rsidP="00552EEC">
          <w:pPr>
            <w:pStyle w:val="TOC1"/>
            <w:tabs>
              <w:tab w:val="left" w:pos="440"/>
              <w:tab w:val="right" w:leader="dot" w:pos="9350"/>
            </w:tabs>
            <w:spacing w:line="360" w:lineRule="auto"/>
            <w:rPr>
              <w:rFonts w:eastAsiaTheme="minorEastAsia"/>
              <w:noProof/>
              <w:lang w:val="en-ZA" w:eastAsia="en-ZA"/>
            </w:rPr>
          </w:pPr>
          <w:hyperlink w:anchor="_Toc482112065" w:history="1">
            <w:r w:rsidR="00212139" w:rsidRPr="00610C5C">
              <w:rPr>
                <w:rStyle w:val="Hyperlink"/>
                <w:rFonts w:ascii="Arial" w:hAnsi="Arial" w:cs="Arial"/>
                <w:noProof/>
                <w:lang w:val="en-ZA" w:eastAsia="en-ZA"/>
              </w:rPr>
              <w:t>4.</w:t>
            </w:r>
            <w:r w:rsidR="00212139">
              <w:rPr>
                <w:rFonts w:eastAsiaTheme="minorEastAsia"/>
                <w:noProof/>
                <w:lang w:val="en-ZA" w:eastAsia="en-ZA"/>
              </w:rPr>
              <w:tab/>
            </w:r>
            <w:r w:rsidR="00212139" w:rsidRPr="00610C5C">
              <w:rPr>
                <w:rStyle w:val="Hyperlink"/>
                <w:rFonts w:ascii="Arial" w:hAnsi="Arial" w:cs="Arial"/>
                <w:noProof/>
                <w:lang w:val="en-ZA" w:eastAsia="en-ZA"/>
              </w:rPr>
              <w:t>CONCLUSION</w:t>
            </w:r>
            <w:r w:rsidR="00212139">
              <w:rPr>
                <w:noProof/>
                <w:webHidden/>
              </w:rPr>
              <w:tab/>
            </w:r>
            <w:r w:rsidR="00212139">
              <w:rPr>
                <w:noProof/>
                <w:webHidden/>
              </w:rPr>
              <w:fldChar w:fldCharType="begin"/>
            </w:r>
            <w:r w:rsidR="00212139">
              <w:rPr>
                <w:noProof/>
                <w:webHidden/>
              </w:rPr>
              <w:instrText xml:space="preserve"> PAGEREF _Toc482112065 \h </w:instrText>
            </w:r>
            <w:r w:rsidR="00212139">
              <w:rPr>
                <w:noProof/>
                <w:webHidden/>
              </w:rPr>
            </w:r>
            <w:r w:rsidR="00212139">
              <w:rPr>
                <w:noProof/>
                <w:webHidden/>
              </w:rPr>
              <w:fldChar w:fldCharType="separate"/>
            </w:r>
            <w:r w:rsidR="00212139">
              <w:rPr>
                <w:noProof/>
                <w:webHidden/>
              </w:rPr>
              <w:t>9</w:t>
            </w:r>
            <w:r w:rsidR="00212139">
              <w:rPr>
                <w:noProof/>
                <w:webHidden/>
              </w:rPr>
              <w:fldChar w:fldCharType="end"/>
            </w:r>
          </w:hyperlink>
        </w:p>
        <w:p w:rsidR="006260AD" w:rsidRPr="00AA68D6" w:rsidRDefault="006260AD" w:rsidP="00552EEC">
          <w:pPr>
            <w:spacing w:line="360" w:lineRule="auto"/>
            <w:jc w:val="both"/>
            <w:rPr>
              <w:rFonts w:ascii="Arial" w:hAnsi="Arial" w:cs="Arial"/>
            </w:rPr>
          </w:pPr>
          <w:r w:rsidRPr="00AA68D6">
            <w:rPr>
              <w:rFonts w:ascii="Arial" w:hAnsi="Arial" w:cs="Arial"/>
              <w:b/>
              <w:bCs/>
              <w:noProof/>
            </w:rPr>
            <w:fldChar w:fldCharType="end"/>
          </w:r>
        </w:p>
      </w:sdtContent>
    </w:sdt>
    <w:p w:rsidR="006260AD" w:rsidRDefault="006260AD" w:rsidP="00AA68D6">
      <w:pPr>
        <w:keepNext/>
        <w:keepLines/>
        <w:spacing w:before="480" w:after="0" w:line="360" w:lineRule="auto"/>
        <w:jc w:val="both"/>
        <w:outlineLvl w:val="0"/>
        <w:rPr>
          <w:rFonts w:ascii="Arial" w:eastAsia="Calibri" w:hAnsi="Arial" w:cs="Arial"/>
          <w:b/>
          <w:bCs/>
          <w:lang w:val="en-ZA" w:eastAsia="en-ZA"/>
        </w:rPr>
      </w:pPr>
    </w:p>
    <w:p w:rsidR="00AA68D6" w:rsidRDefault="00AA68D6" w:rsidP="00AA68D6">
      <w:pPr>
        <w:keepNext/>
        <w:keepLines/>
        <w:spacing w:before="480" w:after="0" w:line="360" w:lineRule="auto"/>
        <w:jc w:val="both"/>
        <w:outlineLvl w:val="0"/>
        <w:rPr>
          <w:rFonts w:ascii="Arial" w:eastAsia="Calibri" w:hAnsi="Arial" w:cs="Arial"/>
          <w:b/>
          <w:bCs/>
          <w:lang w:val="en-ZA" w:eastAsia="en-ZA"/>
        </w:rPr>
      </w:pPr>
    </w:p>
    <w:p w:rsidR="00AA68D6" w:rsidRDefault="00AA68D6" w:rsidP="00AA68D6">
      <w:pPr>
        <w:keepNext/>
        <w:keepLines/>
        <w:spacing w:before="480" w:after="0" w:line="360" w:lineRule="auto"/>
        <w:jc w:val="both"/>
        <w:outlineLvl w:val="0"/>
        <w:rPr>
          <w:rFonts w:ascii="Arial" w:eastAsia="Calibri" w:hAnsi="Arial" w:cs="Arial"/>
          <w:b/>
          <w:bCs/>
          <w:lang w:val="en-ZA" w:eastAsia="en-ZA"/>
        </w:rPr>
      </w:pPr>
    </w:p>
    <w:p w:rsidR="00AA68D6" w:rsidRDefault="00AA68D6" w:rsidP="00AA68D6">
      <w:pPr>
        <w:keepNext/>
        <w:keepLines/>
        <w:spacing w:before="480" w:after="0" w:line="360" w:lineRule="auto"/>
        <w:jc w:val="both"/>
        <w:outlineLvl w:val="0"/>
        <w:rPr>
          <w:rFonts w:ascii="Arial" w:eastAsia="Calibri" w:hAnsi="Arial" w:cs="Arial"/>
          <w:b/>
          <w:bCs/>
          <w:lang w:val="en-ZA" w:eastAsia="en-ZA"/>
        </w:rPr>
      </w:pPr>
    </w:p>
    <w:p w:rsidR="00AA68D6" w:rsidRDefault="00AA68D6" w:rsidP="00AA68D6">
      <w:pPr>
        <w:keepNext/>
        <w:keepLines/>
        <w:spacing w:before="480" w:after="0" w:line="360" w:lineRule="auto"/>
        <w:jc w:val="both"/>
        <w:outlineLvl w:val="0"/>
        <w:rPr>
          <w:rFonts w:ascii="Arial" w:eastAsia="Calibri" w:hAnsi="Arial" w:cs="Arial"/>
          <w:b/>
          <w:bCs/>
          <w:lang w:val="en-ZA" w:eastAsia="en-ZA"/>
        </w:rPr>
      </w:pPr>
    </w:p>
    <w:p w:rsidR="00AA68D6" w:rsidRDefault="00AA68D6" w:rsidP="00AA68D6">
      <w:pPr>
        <w:keepNext/>
        <w:keepLines/>
        <w:spacing w:before="480" w:after="0" w:line="360" w:lineRule="auto"/>
        <w:jc w:val="both"/>
        <w:outlineLvl w:val="0"/>
        <w:rPr>
          <w:rFonts w:ascii="Arial" w:eastAsia="Calibri" w:hAnsi="Arial" w:cs="Arial"/>
          <w:b/>
          <w:bCs/>
          <w:lang w:val="en-ZA" w:eastAsia="en-ZA"/>
        </w:rPr>
      </w:pPr>
    </w:p>
    <w:p w:rsidR="00AA68D6" w:rsidRDefault="00AA68D6" w:rsidP="00AA68D6">
      <w:pPr>
        <w:keepNext/>
        <w:keepLines/>
        <w:spacing w:before="480" w:after="0" w:line="360" w:lineRule="auto"/>
        <w:jc w:val="both"/>
        <w:outlineLvl w:val="0"/>
        <w:rPr>
          <w:rFonts w:ascii="Arial" w:eastAsia="Calibri" w:hAnsi="Arial" w:cs="Arial"/>
          <w:b/>
          <w:bCs/>
          <w:lang w:val="en-ZA" w:eastAsia="en-ZA"/>
        </w:rPr>
      </w:pPr>
    </w:p>
    <w:p w:rsidR="00DA03F4" w:rsidRDefault="00DA03F4">
      <w:pPr>
        <w:rPr>
          <w:rFonts w:ascii="Arial" w:eastAsia="Calibri" w:hAnsi="Arial" w:cs="Arial"/>
          <w:b/>
          <w:bCs/>
          <w:lang w:val="en-ZA" w:eastAsia="en-ZA"/>
        </w:rPr>
      </w:pPr>
      <w:r>
        <w:rPr>
          <w:rFonts w:ascii="Arial" w:eastAsia="Calibri" w:hAnsi="Arial" w:cs="Arial"/>
          <w:b/>
          <w:bCs/>
          <w:lang w:val="en-ZA" w:eastAsia="en-ZA"/>
        </w:rPr>
        <w:br w:type="page"/>
      </w:r>
    </w:p>
    <w:p w:rsidR="006260AD" w:rsidRPr="00AA68D6" w:rsidRDefault="00AA68D6" w:rsidP="00AA68D6">
      <w:pPr>
        <w:pStyle w:val="Heading1"/>
        <w:numPr>
          <w:ilvl w:val="0"/>
          <w:numId w:val="3"/>
        </w:numPr>
        <w:spacing w:line="360" w:lineRule="auto"/>
        <w:jc w:val="both"/>
        <w:rPr>
          <w:rFonts w:ascii="Arial" w:eastAsia="Calibri" w:hAnsi="Arial" w:cs="Arial"/>
          <w:b/>
          <w:color w:val="auto"/>
          <w:sz w:val="22"/>
          <w:szCs w:val="22"/>
          <w:lang w:val="en-ZA" w:eastAsia="en-ZA"/>
        </w:rPr>
      </w:pPr>
      <w:bookmarkStart w:id="2" w:name="_Toc482112057"/>
      <w:r w:rsidRPr="00AA68D6">
        <w:rPr>
          <w:rFonts w:ascii="Arial" w:eastAsia="Calibri" w:hAnsi="Arial" w:cs="Arial"/>
          <w:b/>
          <w:color w:val="auto"/>
          <w:sz w:val="22"/>
          <w:szCs w:val="22"/>
          <w:lang w:val="en-ZA" w:eastAsia="en-ZA"/>
        </w:rPr>
        <w:lastRenderedPageBreak/>
        <w:t>INTRODUCTION</w:t>
      </w:r>
      <w:bookmarkEnd w:id="0"/>
      <w:bookmarkEnd w:id="2"/>
    </w:p>
    <w:p w:rsidR="006260AD" w:rsidRPr="00AA68D6" w:rsidRDefault="006260AD" w:rsidP="00AA68D6">
      <w:pPr>
        <w:spacing w:after="200" w:line="360" w:lineRule="auto"/>
        <w:jc w:val="both"/>
        <w:rPr>
          <w:rFonts w:ascii="Arial" w:hAnsi="Arial" w:cs="Arial"/>
          <w:lang w:val="en-ZA" w:eastAsia="en-ZA"/>
        </w:rPr>
      </w:pPr>
    </w:p>
    <w:p w:rsidR="006260AD" w:rsidRPr="00AA68D6" w:rsidRDefault="006260AD" w:rsidP="00AA68D6">
      <w:pPr>
        <w:numPr>
          <w:ilvl w:val="1"/>
          <w:numId w:val="1"/>
        </w:numPr>
        <w:tabs>
          <w:tab w:val="left" w:pos="0"/>
        </w:tabs>
        <w:spacing w:after="200" w:line="360" w:lineRule="auto"/>
        <w:ind w:left="709" w:hanging="709"/>
        <w:contextualSpacing/>
        <w:jc w:val="both"/>
        <w:rPr>
          <w:rFonts w:ascii="Arial" w:eastAsia="Calibri" w:hAnsi="Arial" w:cs="Arial"/>
          <w:lang w:val="en-ZA" w:eastAsia="en-ZA"/>
        </w:rPr>
      </w:pPr>
      <w:r w:rsidRPr="00AA68D6">
        <w:rPr>
          <w:rFonts w:ascii="Arial" w:eastAsia="Calibri" w:hAnsi="Arial" w:cs="Arial"/>
          <w:lang w:val="en-ZA" w:eastAsia="en-ZA"/>
        </w:rPr>
        <w:t xml:space="preserve">The National Association of Broadcasters (“the NAB”) is a leading representative of South Africa’s broadcasting industry, established in 1993. The NAB aims to further the interests of the broadcasting industry in South Africa, by contributing to its development. The NAB members include: </w:t>
      </w:r>
    </w:p>
    <w:p w:rsidR="006260AD" w:rsidRPr="00AA68D6" w:rsidRDefault="006260AD" w:rsidP="00AA68D6">
      <w:pPr>
        <w:spacing w:after="200" w:line="360" w:lineRule="auto"/>
        <w:ind w:left="360"/>
        <w:contextualSpacing/>
        <w:jc w:val="both"/>
        <w:rPr>
          <w:rFonts w:ascii="Arial" w:eastAsia="Calibri" w:hAnsi="Arial" w:cs="Arial"/>
          <w:lang w:val="en-ZA" w:eastAsia="en-ZA"/>
        </w:rPr>
      </w:pPr>
      <w:r w:rsidRPr="00AA68D6">
        <w:rPr>
          <w:rFonts w:ascii="Arial" w:eastAsia="Calibri" w:hAnsi="Arial" w:cs="Arial"/>
          <w:lang w:val="en-ZA" w:eastAsia="en-ZA"/>
        </w:rPr>
        <w:t xml:space="preserve"> </w:t>
      </w:r>
    </w:p>
    <w:p w:rsidR="006260AD" w:rsidRPr="00AA68D6" w:rsidRDefault="006260AD" w:rsidP="00AA68D6">
      <w:pPr>
        <w:numPr>
          <w:ilvl w:val="2"/>
          <w:numId w:val="1"/>
        </w:numPr>
        <w:tabs>
          <w:tab w:val="left" w:pos="1418"/>
        </w:tabs>
        <w:spacing w:after="200" w:line="360" w:lineRule="auto"/>
        <w:ind w:left="1418" w:hanging="709"/>
        <w:contextualSpacing/>
        <w:jc w:val="both"/>
        <w:rPr>
          <w:rFonts w:ascii="Arial" w:eastAsia="Calibri" w:hAnsi="Arial" w:cs="Arial"/>
          <w:lang w:val="en-ZA" w:eastAsia="en-ZA"/>
        </w:rPr>
      </w:pPr>
      <w:r w:rsidRPr="00AA68D6">
        <w:rPr>
          <w:rFonts w:ascii="Arial" w:eastAsia="Calibri" w:hAnsi="Arial" w:cs="Arial"/>
          <w:lang w:val="en-ZA" w:eastAsia="en-ZA"/>
        </w:rPr>
        <w:t>the three television services and 1</w:t>
      </w:r>
      <w:r w:rsidR="00AB1202">
        <w:rPr>
          <w:rFonts w:ascii="Arial" w:eastAsia="Calibri" w:hAnsi="Arial" w:cs="Arial"/>
          <w:lang w:val="en-ZA" w:eastAsia="en-ZA"/>
        </w:rPr>
        <w:t>9</w:t>
      </w:r>
      <w:r w:rsidRPr="00AA68D6">
        <w:rPr>
          <w:rFonts w:ascii="Arial" w:eastAsia="Calibri" w:hAnsi="Arial" w:cs="Arial"/>
          <w:lang w:val="en-ZA" w:eastAsia="en-ZA"/>
        </w:rPr>
        <w:t xml:space="preserve"> radio services of the </w:t>
      </w:r>
      <w:r w:rsidRPr="00AA68D6">
        <w:rPr>
          <w:rFonts w:ascii="Arial" w:eastAsia="Calibri" w:hAnsi="Arial" w:cs="Arial"/>
          <w:bCs/>
          <w:lang w:val="en-ZA" w:eastAsia="en-ZA"/>
        </w:rPr>
        <w:t>SABC;</w:t>
      </w:r>
    </w:p>
    <w:p w:rsidR="006260AD" w:rsidRPr="00AA68D6" w:rsidRDefault="006260AD" w:rsidP="00AA68D6">
      <w:pPr>
        <w:numPr>
          <w:ilvl w:val="2"/>
          <w:numId w:val="1"/>
        </w:numPr>
        <w:tabs>
          <w:tab w:val="left" w:pos="0"/>
          <w:tab w:val="left" w:pos="284"/>
          <w:tab w:val="left" w:pos="1418"/>
        </w:tabs>
        <w:spacing w:after="200" w:line="360" w:lineRule="auto"/>
        <w:ind w:left="1418" w:hanging="709"/>
        <w:contextualSpacing/>
        <w:jc w:val="both"/>
        <w:rPr>
          <w:rFonts w:ascii="Arial" w:eastAsia="Calibri" w:hAnsi="Arial" w:cs="Arial"/>
          <w:lang w:val="en-ZA" w:eastAsia="en-ZA"/>
        </w:rPr>
      </w:pPr>
      <w:r w:rsidRPr="00AA68D6">
        <w:rPr>
          <w:rFonts w:ascii="Arial" w:eastAsia="Calibri" w:hAnsi="Arial" w:cs="Arial"/>
          <w:lang w:val="en-ZA" w:eastAsia="en-ZA"/>
        </w:rPr>
        <w:t xml:space="preserve">licensed commercial radio broadcasters (including media groups and independents: </w:t>
      </w:r>
      <w:r w:rsidRPr="00AA68D6">
        <w:rPr>
          <w:rFonts w:ascii="Arial" w:eastAsia="Calibri" w:hAnsi="Arial" w:cs="Arial"/>
          <w:bCs/>
          <w:lang w:val="en-ZA" w:eastAsia="en-ZA"/>
        </w:rPr>
        <w:t xml:space="preserve">Primedia, Kagiso Media, Tsiya Group, AME, MSG Afrika, Classic FM, Kaya FM, YFM, Smile FM and Times Media Ltd-Vuma FM </w:t>
      </w:r>
      <w:r w:rsidRPr="00AA68D6">
        <w:rPr>
          <w:rFonts w:ascii="Arial" w:eastAsia="Calibri" w:hAnsi="Arial" w:cs="Arial"/>
          <w:lang w:val="en-ZA" w:eastAsia="en-ZA"/>
        </w:rPr>
        <w:t xml:space="preserve">); </w:t>
      </w:r>
    </w:p>
    <w:p w:rsidR="006260AD" w:rsidRPr="00AA68D6" w:rsidRDefault="006260AD" w:rsidP="00AA68D6">
      <w:pPr>
        <w:numPr>
          <w:ilvl w:val="2"/>
          <w:numId w:val="1"/>
        </w:numPr>
        <w:tabs>
          <w:tab w:val="left" w:pos="1418"/>
        </w:tabs>
        <w:spacing w:after="200" w:line="360" w:lineRule="auto"/>
        <w:ind w:left="1418" w:hanging="709"/>
        <w:contextualSpacing/>
        <w:jc w:val="both"/>
        <w:rPr>
          <w:rFonts w:ascii="Arial" w:eastAsia="Calibri" w:hAnsi="Arial" w:cs="Arial"/>
          <w:lang w:val="en-ZA" w:eastAsia="en-ZA"/>
        </w:rPr>
      </w:pPr>
      <w:r w:rsidRPr="00AA68D6">
        <w:rPr>
          <w:rFonts w:ascii="Arial" w:eastAsia="Calibri" w:hAnsi="Arial" w:cs="Arial"/>
          <w:lang w:val="en-ZA" w:eastAsia="en-ZA"/>
        </w:rPr>
        <w:t>licensed commercial television broadcasters (</w:t>
      </w:r>
      <w:r w:rsidRPr="00AA68D6">
        <w:rPr>
          <w:rFonts w:ascii="Arial" w:eastAsia="Calibri" w:hAnsi="Arial" w:cs="Arial"/>
          <w:bCs/>
          <w:lang w:val="en-ZA" w:eastAsia="en-ZA"/>
        </w:rPr>
        <w:t>e.tv, Multichoice, M-Net, StarSat-ODM</w:t>
      </w:r>
      <w:r w:rsidRPr="00AA68D6">
        <w:rPr>
          <w:rFonts w:ascii="Arial" w:eastAsia="Calibri" w:hAnsi="Arial" w:cs="Arial"/>
          <w:lang w:val="en-ZA" w:eastAsia="en-ZA"/>
        </w:rPr>
        <w:t>);</w:t>
      </w:r>
    </w:p>
    <w:p w:rsidR="006260AD" w:rsidRPr="00AA68D6" w:rsidRDefault="006260AD" w:rsidP="00AA68D6">
      <w:pPr>
        <w:numPr>
          <w:ilvl w:val="2"/>
          <w:numId w:val="1"/>
        </w:numPr>
        <w:tabs>
          <w:tab w:val="left" w:pos="1418"/>
        </w:tabs>
        <w:spacing w:after="200" w:line="360" w:lineRule="auto"/>
        <w:ind w:left="1418" w:hanging="709"/>
        <w:contextualSpacing/>
        <w:jc w:val="both"/>
        <w:rPr>
          <w:rFonts w:ascii="Arial" w:eastAsia="Calibri" w:hAnsi="Arial" w:cs="Arial"/>
          <w:lang w:val="en-ZA" w:eastAsia="en-ZA"/>
        </w:rPr>
      </w:pPr>
      <w:r w:rsidRPr="00AA68D6">
        <w:rPr>
          <w:rFonts w:ascii="Arial" w:eastAsia="Calibri" w:hAnsi="Arial" w:cs="Arial"/>
          <w:lang w:val="en-ZA" w:eastAsia="en-ZA"/>
        </w:rPr>
        <w:t xml:space="preserve">a host of </w:t>
      </w:r>
      <w:r w:rsidRPr="00AA68D6">
        <w:rPr>
          <w:rFonts w:ascii="Arial" w:eastAsia="Calibri" w:hAnsi="Arial" w:cs="Arial"/>
          <w:bCs/>
          <w:lang w:val="en-ZA" w:eastAsia="en-ZA"/>
        </w:rPr>
        <w:t>community radio</w:t>
      </w:r>
      <w:r w:rsidRPr="00AA68D6">
        <w:rPr>
          <w:rFonts w:ascii="Arial" w:eastAsia="Calibri" w:hAnsi="Arial" w:cs="Arial"/>
          <w:lang w:val="en-ZA" w:eastAsia="en-ZA"/>
        </w:rPr>
        <w:t xml:space="preserve"> broadcasters and </w:t>
      </w:r>
      <w:r w:rsidRPr="00AA68D6">
        <w:rPr>
          <w:rFonts w:ascii="Arial" w:eastAsia="Calibri" w:hAnsi="Arial" w:cs="Arial"/>
          <w:bCs/>
          <w:lang w:val="en-ZA" w:eastAsia="en-ZA"/>
        </w:rPr>
        <w:t xml:space="preserve">community television </w:t>
      </w:r>
      <w:r w:rsidRPr="00AA68D6">
        <w:rPr>
          <w:rFonts w:ascii="Arial" w:eastAsia="Calibri" w:hAnsi="Arial" w:cs="Arial"/>
          <w:lang w:val="en-ZA" w:eastAsia="en-ZA"/>
        </w:rPr>
        <w:t>broadcaster, Faith Terrestrial;</w:t>
      </w:r>
    </w:p>
    <w:p w:rsidR="006260AD" w:rsidRPr="00AA68D6" w:rsidRDefault="006260AD" w:rsidP="00AA68D6">
      <w:pPr>
        <w:numPr>
          <w:ilvl w:val="2"/>
          <w:numId w:val="1"/>
        </w:numPr>
        <w:tabs>
          <w:tab w:val="left" w:pos="1418"/>
        </w:tabs>
        <w:spacing w:after="200" w:line="360" w:lineRule="auto"/>
        <w:ind w:left="1418" w:hanging="709"/>
        <w:contextualSpacing/>
        <w:jc w:val="both"/>
        <w:rPr>
          <w:rFonts w:ascii="Arial" w:eastAsia="Calibri" w:hAnsi="Arial" w:cs="Arial"/>
          <w:lang w:val="en-ZA" w:eastAsia="en-ZA"/>
        </w:rPr>
      </w:pPr>
      <w:r w:rsidRPr="00AA68D6">
        <w:rPr>
          <w:rFonts w:ascii="Arial" w:eastAsia="Calibri" w:hAnsi="Arial" w:cs="Arial"/>
          <w:lang w:val="en-ZA" w:eastAsia="en-ZA"/>
        </w:rPr>
        <w:t xml:space="preserve">both the licensed broadcast signal distributor and the selective and preferential common carrier broadcast signal distributors, </w:t>
      </w:r>
      <w:r w:rsidRPr="00AA68D6">
        <w:rPr>
          <w:rFonts w:ascii="Arial" w:eastAsia="Calibri" w:hAnsi="Arial" w:cs="Arial"/>
          <w:bCs/>
          <w:lang w:val="en-ZA" w:eastAsia="en-ZA"/>
        </w:rPr>
        <w:t>Sentech</w:t>
      </w:r>
      <w:r w:rsidRPr="00AA68D6">
        <w:rPr>
          <w:rFonts w:ascii="Arial" w:eastAsia="Calibri" w:hAnsi="Arial" w:cs="Arial"/>
          <w:lang w:val="en-ZA" w:eastAsia="en-ZA"/>
        </w:rPr>
        <w:t xml:space="preserve"> and </w:t>
      </w:r>
      <w:r w:rsidRPr="00AA68D6">
        <w:rPr>
          <w:rFonts w:ascii="Arial" w:eastAsia="Calibri" w:hAnsi="Arial" w:cs="Arial"/>
          <w:bCs/>
          <w:lang w:val="en-ZA" w:eastAsia="en-ZA"/>
        </w:rPr>
        <w:t>Orbicom;</w:t>
      </w:r>
    </w:p>
    <w:p w:rsidR="006260AD" w:rsidRDefault="006260AD" w:rsidP="00AA68D6">
      <w:pPr>
        <w:numPr>
          <w:ilvl w:val="2"/>
          <w:numId w:val="1"/>
        </w:numPr>
        <w:tabs>
          <w:tab w:val="left" w:pos="1418"/>
        </w:tabs>
        <w:spacing w:after="200" w:line="360" w:lineRule="auto"/>
        <w:ind w:left="1418" w:hanging="709"/>
        <w:contextualSpacing/>
        <w:jc w:val="both"/>
        <w:rPr>
          <w:rFonts w:ascii="Arial" w:eastAsia="Calibri" w:hAnsi="Arial" w:cs="Arial"/>
          <w:lang w:val="en-ZA" w:eastAsia="en-ZA"/>
        </w:rPr>
      </w:pPr>
      <w:r w:rsidRPr="00AA68D6">
        <w:rPr>
          <w:rFonts w:ascii="Arial" w:eastAsia="Calibri" w:hAnsi="Arial" w:cs="Arial"/>
          <w:bCs/>
          <w:lang w:val="en-ZA" w:eastAsia="en-ZA"/>
        </w:rPr>
        <w:t>a range of associate members, including training institutions</w:t>
      </w:r>
      <w:r w:rsidRPr="00AA68D6">
        <w:rPr>
          <w:rFonts w:ascii="Arial" w:eastAsia="Calibri" w:hAnsi="Arial" w:cs="Arial"/>
          <w:lang w:val="en-ZA" w:eastAsia="en-ZA"/>
        </w:rPr>
        <w:t>.</w:t>
      </w:r>
    </w:p>
    <w:p w:rsidR="00AA68D6" w:rsidRPr="00AA68D6" w:rsidRDefault="00AA68D6" w:rsidP="00AA68D6">
      <w:pPr>
        <w:tabs>
          <w:tab w:val="left" w:pos="1418"/>
        </w:tabs>
        <w:spacing w:after="200" w:line="360" w:lineRule="auto"/>
        <w:ind w:left="1418"/>
        <w:contextualSpacing/>
        <w:jc w:val="both"/>
        <w:rPr>
          <w:rFonts w:ascii="Arial" w:eastAsia="Calibri" w:hAnsi="Arial" w:cs="Arial"/>
          <w:lang w:val="en-ZA" w:eastAsia="en-ZA"/>
        </w:rPr>
      </w:pPr>
    </w:p>
    <w:p w:rsidR="00AA68D6" w:rsidRDefault="00AA68D6" w:rsidP="00AA68D6">
      <w:pPr>
        <w:pStyle w:val="Heading1"/>
        <w:numPr>
          <w:ilvl w:val="0"/>
          <w:numId w:val="1"/>
        </w:numPr>
        <w:spacing w:line="360" w:lineRule="auto"/>
        <w:jc w:val="both"/>
        <w:rPr>
          <w:rFonts w:ascii="Arial" w:eastAsia="Calibri" w:hAnsi="Arial" w:cs="Arial"/>
          <w:b/>
          <w:color w:val="auto"/>
          <w:sz w:val="22"/>
          <w:szCs w:val="22"/>
          <w:lang w:val="en-ZA" w:eastAsia="en-ZA"/>
        </w:rPr>
      </w:pPr>
      <w:bookmarkStart w:id="3" w:name="_Toc482112058"/>
      <w:r w:rsidRPr="00AA68D6">
        <w:rPr>
          <w:rFonts w:ascii="Arial" w:eastAsia="Calibri" w:hAnsi="Arial" w:cs="Arial"/>
          <w:b/>
          <w:color w:val="auto"/>
          <w:sz w:val="22"/>
          <w:szCs w:val="22"/>
          <w:lang w:val="en-ZA" w:eastAsia="en-ZA"/>
        </w:rPr>
        <w:t>PROCEDURAL CONCERNS</w:t>
      </w:r>
      <w:bookmarkEnd w:id="3"/>
      <w:r w:rsidRPr="00AA68D6">
        <w:rPr>
          <w:rFonts w:ascii="Arial" w:eastAsia="Calibri" w:hAnsi="Arial" w:cs="Arial"/>
          <w:b/>
          <w:color w:val="auto"/>
          <w:sz w:val="22"/>
          <w:szCs w:val="22"/>
          <w:lang w:val="en-ZA" w:eastAsia="en-ZA"/>
        </w:rPr>
        <w:t xml:space="preserve"> </w:t>
      </w:r>
    </w:p>
    <w:p w:rsidR="00AA68D6" w:rsidRPr="00AA68D6" w:rsidRDefault="00AA68D6" w:rsidP="00AA68D6">
      <w:pPr>
        <w:rPr>
          <w:lang w:val="en-ZA" w:eastAsia="en-ZA"/>
        </w:rPr>
      </w:pPr>
    </w:p>
    <w:p w:rsidR="00212139" w:rsidRPr="00212139" w:rsidRDefault="00440264" w:rsidP="00AA68D6">
      <w:pPr>
        <w:pStyle w:val="ListParagraph"/>
        <w:numPr>
          <w:ilvl w:val="1"/>
          <w:numId w:val="1"/>
        </w:numPr>
        <w:spacing w:line="360" w:lineRule="auto"/>
        <w:ind w:hanging="792"/>
        <w:jc w:val="both"/>
        <w:rPr>
          <w:rFonts w:ascii="Arial" w:hAnsi="Arial" w:cs="Arial"/>
          <w:lang w:val="en-ZA" w:eastAsia="en-ZA"/>
        </w:rPr>
      </w:pPr>
      <w:r w:rsidRPr="00AA68D6">
        <w:rPr>
          <w:rFonts w:ascii="Arial" w:hAnsi="Arial" w:cs="Arial"/>
          <w:lang w:val="en-ZA" w:eastAsia="en-ZA"/>
        </w:rPr>
        <w:t xml:space="preserve">Relatively, given the space of time the </w:t>
      </w:r>
      <w:r w:rsidR="00B75AAB" w:rsidRPr="00AA68D6">
        <w:rPr>
          <w:rFonts w:ascii="Arial" w:hAnsi="Arial" w:cs="Arial"/>
          <w:lang w:val="en-ZA" w:eastAsia="en-ZA"/>
        </w:rPr>
        <w:t xml:space="preserve">Authority normally </w:t>
      </w:r>
      <w:r w:rsidRPr="00AA68D6">
        <w:rPr>
          <w:rFonts w:ascii="Arial" w:hAnsi="Arial" w:cs="Arial"/>
          <w:lang w:val="en-ZA" w:eastAsia="en-ZA"/>
        </w:rPr>
        <w:t>take</w:t>
      </w:r>
      <w:r w:rsidR="00B75AAB" w:rsidRPr="00AA68D6">
        <w:rPr>
          <w:rFonts w:ascii="Arial" w:hAnsi="Arial" w:cs="Arial"/>
          <w:lang w:val="en-ZA" w:eastAsia="en-ZA"/>
        </w:rPr>
        <w:t>s</w:t>
      </w:r>
      <w:r w:rsidRPr="00AA68D6">
        <w:rPr>
          <w:rFonts w:ascii="Arial" w:hAnsi="Arial" w:cs="Arial"/>
          <w:lang w:val="en-ZA" w:eastAsia="en-ZA"/>
        </w:rPr>
        <w:t xml:space="preserve"> to </w:t>
      </w:r>
      <w:r w:rsidR="00B75AAB" w:rsidRPr="00AA68D6">
        <w:rPr>
          <w:rFonts w:ascii="Arial" w:hAnsi="Arial" w:cs="Arial"/>
          <w:lang w:val="en-ZA" w:eastAsia="en-ZA"/>
        </w:rPr>
        <w:t>commence and complete</w:t>
      </w:r>
      <w:r w:rsidRPr="00AA68D6">
        <w:rPr>
          <w:rFonts w:ascii="Arial" w:hAnsi="Arial" w:cs="Arial"/>
          <w:lang w:val="en-ZA" w:eastAsia="en-ZA"/>
        </w:rPr>
        <w:t xml:space="preserve"> an enquiry process on any given subject matter, </w:t>
      </w:r>
      <w:r w:rsidR="00B75AAB" w:rsidRPr="00AA68D6">
        <w:rPr>
          <w:rFonts w:ascii="Arial" w:hAnsi="Arial" w:cs="Arial"/>
          <w:lang w:val="en-ZA" w:eastAsia="en-ZA"/>
        </w:rPr>
        <w:t>t</w:t>
      </w:r>
      <w:r w:rsidRPr="00AA68D6">
        <w:rPr>
          <w:rFonts w:ascii="Arial" w:hAnsi="Arial" w:cs="Arial"/>
          <w:lang w:val="en-ZA" w:eastAsia="en-ZA"/>
        </w:rPr>
        <w:t xml:space="preserve">he </w:t>
      </w:r>
      <w:r w:rsidR="00B75AAB" w:rsidRPr="00AA68D6">
        <w:rPr>
          <w:rFonts w:ascii="Arial" w:hAnsi="Arial" w:cs="Arial"/>
          <w:lang w:val="en-ZA" w:eastAsia="en-ZA"/>
        </w:rPr>
        <w:t xml:space="preserve">NAB commends the Authority for the speed and vigour </w:t>
      </w:r>
      <w:r w:rsidR="003E12D2" w:rsidRPr="00AA68D6">
        <w:rPr>
          <w:rFonts w:ascii="Arial" w:hAnsi="Arial" w:cs="Arial"/>
          <w:lang w:val="en-ZA" w:eastAsia="en-ZA"/>
        </w:rPr>
        <w:t xml:space="preserve">with </w:t>
      </w:r>
      <w:r w:rsidR="00112AF9" w:rsidRPr="00AA68D6">
        <w:rPr>
          <w:rFonts w:ascii="Arial" w:hAnsi="Arial" w:cs="Arial"/>
          <w:lang w:val="en-ZA" w:eastAsia="en-ZA"/>
        </w:rPr>
        <w:t xml:space="preserve">which the </w:t>
      </w:r>
      <w:r w:rsidR="00552EEC">
        <w:rPr>
          <w:rFonts w:ascii="Arial" w:hAnsi="Arial" w:cs="Arial"/>
          <w:lang w:val="en-ZA" w:eastAsia="en-ZA"/>
        </w:rPr>
        <w:t>Television White Spaces (</w:t>
      </w:r>
      <w:r w:rsidR="00112AF9" w:rsidRPr="00AA68D6">
        <w:rPr>
          <w:rFonts w:ascii="Arial" w:hAnsi="Arial" w:cs="Arial"/>
          <w:lang w:val="en-ZA" w:eastAsia="en-ZA"/>
        </w:rPr>
        <w:t>TVWS</w:t>
      </w:r>
      <w:r w:rsidR="00552EEC">
        <w:rPr>
          <w:rFonts w:ascii="Arial" w:hAnsi="Arial" w:cs="Arial"/>
          <w:lang w:val="en-ZA" w:eastAsia="en-ZA"/>
        </w:rPr>
        <w:t>)</w:t>
      </w:r>
      <w:r w:rsidR="00B75AAB" w:rsidRPr="00AA68D6">
        <w:rPr>
          <w:rFonts w:ascii="Arial" w:hAnsi="Arial" w:cs="Arial"/>
          <w:lang w:val="en-ZA" w:eastAsia="en-ZA"/>
        </w:rPr>
        <w:t xml:space="preserve"> process has been conducted</w:t>
      </w:r>
      <w:r w:rsidRPr="00AA68D6">
        <w:rPr>
          <w:rFonts w:ascii="Arial" w:hAnsi="Arial" w:cs="Arial"/>
          <w:lang w:val="en-ZA" w:eastAsia="en-ZA"/>
        </w:rPr>
        <w:t>.</w:t>
      </w:r>
      <w:r w:rsidR="001315B2">
        <w:rPr>
          <w:rFonts w:ascii="Arial" w:hAnsi="Arial" w:cs="Arial"/>
          <w:lang w:val="en-ZA" w:eastAsia="en-ZA"/>
        </w:rPr>
        <w:t xml:space="preserve"> This</w:t>
      </w:r>
      <w:r w:rsidR="003E12D2" w:rsidRPr="00AA68D6">
        <w:rPr>
          <w:rFonts w:ascii="Arial" w:hAnsi="Arial" w:cs="Arial"/>
          <w:lang w:val="en-ZA" w:eastAsia="en-ZA"/>
        </w:rPr>
        <w:t xml:space="preserve"> on the other hand </w:t>
      </w:r>
      <w:r w:rsidR="001315B2">
        <w:rPr>
          <w:rFonts w:ascii="Arial" w:hAnsi="Arial" w:cs="Arial"/>
          <w:lang w:val="en-ZA" w:eastAsia="en-ZA"/>
        </w:rPr>
        <w:t xml:space="preserve">is </w:t>
      </w:r>
      <w:r w:rsidR="007550AE" w:rsidRPr="00AA68D6">
        <w:rPr>
          <w:rFonts w:ascii="Arial" w:hAnsi="Arial" w:cs="Arial"/>
          <w:lang w:val="en-ZA" w:eastAsia="en-ZA"/>
        </w:rPr>
        <w:t>concerning</w:t>
      </w:r>
      <w:r w:rsidR="00112AF9" w:rsidRPr="00AA68D6">
        <w:rPr>
          <w:rFonts w:ascii="Arial" w:hAnsi="Arial" w:cs="Arial"/>
          <w:lang w:val="en-ZA" w:eastAsia="en-ZA"/>
        </w:rPr>
        <w:t xml:space="preserve"> to the NAB. </w:t>
      </w:r>
      <w:r w:rsidR="003E12D2" w:rsidRPr="00AA68D6">
        <w:rPr>
          <w:rFonts w:ascii="Arial" w:hAnsi="Arial" w:cs="Arial"/>
          <w:lang w:val="en-ZA" w:eastAsia="en-ZA"/>
        </w:rPr>
        <w:t xml:space="preserve"> </w:t>
      </w:r>
      <w:r w:rsidR="00146F95" w:rsidRPr="00AA68D6">
        <w:rPr>
          <w:rFonts w:ascii="Arial" w:hAnsi="Arial" w:cs="Arial"/>
          <w:lang w:val="en-ZA" w:eastAsia="en-ZA"/>
        </w:rPr>
        <w:t>The NAB reiterates its</w:t>
      </w:r>
      <w:r w:rsidR="00146F95" w:rsidRPr="00AA68D6">
        <w:rPr>
          <w:rFonts w:ascii="Arial" w:hAnsi="Arial" w:cs="Arial"/>
          <w:lang w:eastAsia="en-ZA"/>
        </w:rPr>
        <w:t xml:space="preserve"> concerns that “the Authority appears to be shifting its priorities from a successful and timely broadcasting digital migration (“BDM”), to other projects, </w:t>
      </w:r>
      <w:r w:rsidR="00DA03F4">
        <w:rPr>
          <w:rFonts w:ascii="Arial" w:hAnsi="Arial" w:cs="Arial"/>
          <w:lang w:eastAsia="en-ZA"/>
        </w:rPr>
        <w:t>which</w:t>
      </w:r>
      <w:r w:rsidR="00146F95" w:rsidRPr="00AA68D6">
        <w:rPr>
          <w:rFonts w:ascii="Arial" w:hAnsi="Arial" w:cs="Arial"/>
          <w:lang w:eastAsia="en-ZA"/>
        </w:rPr>
        <w:t xml:space="preserve"> success is primarily dependent on a successful migration”. </w:t>
      </w:r>
      <w:r w:rsidR="00146F95" w:rsidRPr="00AA68D6">
        <w:rPr>
          <w:rStyle w:val="FootnoteReference"/>
          <w:rFonts w:ascii="Arial" w:hAnsi="Arial" w:cs="Arial"/>
          <w:lang w:eastAsia="en-ZA"/>
        </w:rPr>
        <w:footnoteReference w:id="1"/>
      </w:r>
      <w:r w:rsidR="00146F95" w:rsidRPr="00AA68D6">
        <w:rPr>
          <w:rFonts w:ascii="Arial" w:hAnsi="Arial" w:cs="Arial"/>
          <w:lang w:eastAsia="en-ZA"/>
        </w:rPr>
        <w:t xml:space="preserve"> </w:t>
      </w:r>
    </w:p>
    <w:p w:rsidR="00212139" w:rsidRPr="00212139" w:rsidRDefault="00212139" w:rsidP="00212139">
      <w:pPr>
        <w:pStyle w:val="ListParagraph"/>
        <w:spacing w:line="360" w:lineRule="auto"/>
        <w:ind w:left="792"/>
        <w:jc w:val="both"/>
        <w:rPr>
          <w:rFonts w:ascii="Arial" w:hAnsi="Arial" w:cs="Arial"/>
          <w:lang w:val="en-ZA" w:eastAsia="en-ZA"/>
        </w:rPr>
      </w:pPr>
    </w:p>
    <w:p w:rsidR="003E12D2" w:rsidRPr="00AA68D6" w:rsidRDefault="003E12D2" w:rsidP="00AA68D6">
      <w:pPr>
        <w:pStyle w:val="ListParagraph"/>
        <w:numPr>
          <w:ilvl w:val="1"/>
          <w:numId w:val="1"/>
        </w:numPr>
        <w:spacing w:line="360" w:lineRule="auto"/>
        <w:ind w:hanging="792"/>
        <w:jc w:val="both"/>
        <w:rPr>
          <w:rFonts w:ascii="Arial" w:hAnsi="Arial" w:cs="Arial"/>
          <w:lang w:val="en-ZA" w:eastAsia="en-ZA"/>
        </w:rPr>
      </w:pPr>
      <w:r w:rsidRPr="00AA68D6">
        <w:rPr>
          <w:rFonts w:ascii="Arial" w:hAnsi="Arial" w:cs="Arial"/>
          <w:lang w:val="en-ZA" w:eastAsia="en-ZA"/>
        </w:rPr>
        <w:t xml:space="preserve">The </w:t>
      </w:r>
      <w:r w:rsidR="0069004F">
        <w:rPr>
          <w:rFonts w:ascii="Arial" w:hAnsi="Arial" w:cs="Arial"/>
          <w:lang w:val="en-ZA" w:eastAsia="en-ZA"/>
        </w:rPr>
        <w:t>TVWS</w:t>
      </w:r>
      <w:r w:rsidR="0069004F" w:rsidRPr="00AA68D6">
        <w:rPr>
          <w:rFonts w:ascii="Arial" w:hAnsi="Arial" w:cs="Arial"/>
          <w:lang w:val="en-ZA" w:eastAsia="en-ZA"/>
        </w:rPr>
        <w:t xml:space="preserve"> </w:t>
      </w:r>
      <w:r w:rsidRPr="00AA68D6">
        <w:rPr>
          <w:rFonts w:ascii="Arial" w:hAnsi="Arial" w:cs="Arial"/>
          <w:lang w:val="en-ZA" w:eastAsia="en-ZA"/>
        </w:rPr>
        <w:t xml:space="preserve">process commenced in 2015, when the Authority published </w:t>
      </w:r>
      <w:r w:rsidRPr="00AA68D6">
        <w:rPr>
          <w:rFonts w:ascii="Arial" w:hAnsi="Arial" w:cs="Arial"/>
        </w:rPr>
        <w:t>a notice regarding the discussion paper on the draft framework for dynamic an</w:t>
      </w:r>
      <w:r w:rsidR="0069004F">
        <w:rPr>
          <w:rFonts w:ascii="Arial" w:hAnsi="Arial" w:cs="Arial"/>
        </w:rPr>
        <w:t>d</w:t>
      </w:r>
      <w:r w:rsidRPr="00AA68D6">
        <w:rPr>
          <w:rFonts w:ascii="Arial" w:hAnsi="Arial" w:cs="Arial"/>
        </w:rPr>
        <w:t xml:space="preserve"> opportunistic </w:t>
      </w:r>
      <w:r w:rsidRPr="00AA68D6">
        <w:rPr>
          <w:rFonts w:ascii="Arial" w:hAnsi="Arial" w:cs="Arial"/>
        </w:rPr>
        <w:lastRenderedPageBreak/>
        <w:t xml:space="preserve">spectrum management for public comment (the Discussion Paper) on 19 October 2015. Subsequently, the Authority published a Findings Document on the Framework for Dynamic and Opportunistic Spectrum Management (the Findings Document) on 17 June 2016. In its conclusions and way forward, the Authority noted all </w:t>
      </w:r>
      <w:r w:rsidR="007550AE" w:rsidRPr="00AA68D6">
        <w:rPr>
          <w:rFonts w:ascii="Arial" w:hAnsi="Arial" w:cs="Arial"/>
        </w:rPr>
        <w:t>stakeholder</w:t>
      </w:r>
      <w:r w:rsidRPr="00AA68D6">
        <w:rPr>
          <w:rFonts w:ascii="Arial" w:hAnsi="Arial" w:cs="Arial"/>
        </w:rPr>
        <w:t xml:space="preserve"> inputs and indicated </w:t>
      </w:r>
      <w:r w:rsidR="007550AE" w:rsidRPr="00AA68D6">
        <w:rPr>
          <w:rFonts w:ascii="Arial" w:hAnsi="Arial" w:cs="Arial"/>
        </w:rPr>
        <w:t>t</w:t>
      </w:r>
      <w:r w:rsidRPr="00AA68D6">
        <w:rPr>
          <w:rFonts w:ascii="Arial" w:hAnsi="Arial" w:cs="Arial"/>
        </w:rPr>
        <w:t xml:space="preserve">hat all were considered in the findings document, and </w:t>
      </w:r>
      <w:r w:rsidR="007550AE" w:rsidRPr="00AA68D6">
        <w:rPr>
          <w:rFonts w:ascii="Arial" w:hAnsi="Arial" w:cs="Arial"/>
        </w:rPr>
        <w:t>would be taken into account when formulating a position. The Authority further concluded by stating:</w:t>
      </w:r>
    </w:p>
    <w:p w:rsidR="003E12D2" w:rsidRPr="00AA68D6" w:rsidRDefault="003E12D2" w:rsidP="00AA68D6">
      <w:pPr>
        <w:pStyle w:val="ListParagraph"/>
        <w:spacing w:line="360" w:lineRule="auto"/>
        <w:jc w:val="both"/>
        <w:rPr>
          <w:rFonts w:ascii="Arial" w:hAnsi="Arial" w:cs="Arial"/>
          <w:lang w:val="en-ZA" w:eastAsia="en-ZA"/>
        </w:rPr>
      </w:pPr>
    </w:p>
    <w:p w:rsidR="003E12D2" w:rsidRDefault="003E12D2" w:rsidP="00AA68D6">
      <w:pPr>
        <w:spacing w:line="360" w:lineRule="auto"/>
        <w:ind w:left="1440"/>
        <w:jc w:val="both"/>
        <w:rPr>
          <w:rFonts w:ascii="Arial" w:hAnsi="Arial" w:cs="Arial"/>
        </w:rPr>
      </w:pPr>
      <w:r w:rsidRPr="00AA68D6">
        <w:rPr>
          <w:rFonts w:ascii="Arial" w:hAnsi="Arial" w:cs="Arial"/>
        </w:rPr>
        <w:t>“In parallel to developing the required positions</w:t>
      </w:r>
      <w:r w:rsidRPr="00AA68D6">
        <w:rPr>
          <w:rFonts w:ascii="Arial" w:hAnsi="Arial" w:cs="Arial"/>
          <w:u w:val="single"/>
        </w:rPr>
        <w:t>, the Authority will support further studies on these topics identified in the discussion document as well as the additional topics proposed by the respondents.</w:t>
      </w:r>
      <w:r w:rsidRPr="00AA68D6">
        <w:rPr>
          <w:rFonts w:ascii="Arial" w:hAnsi="Arial" w:cs="Arial"/>
        </w:rPr>
        <w:t>”</w:t>
      </w:r>
      <w:r w:rsidRPr="00AA68D6">
        <w:rPr>
          <w:rStyle w:val="FootnoteReference"/>
          <w:rFonts w:ascii="Arial" w:hAnsi="Arial" w:cs="Arial"/>
        </w:rPr>
        <w:footnoteReference w:id="2"/>
      </w:r>
    </w:p>
    <w:p w:rsidR="00AE6B72" w:rsidRPr="00AA68D6" w:rsidRDefault="00AE6B72" w:rsidP="00AA68D6">
      <w:pPr>
        <w:spacing w:line="360" w:lineRule="auto"/>
        <w:ind w:left="1440"/>
        <w:jc w:val="both"/>
        <w:rPr>
          <w:rFonts w:ascii="Arial" w:hAnsi="Arial" w:cs="Arial"/>
          <w:lang w:val="en-ZA" w:eastAsia="en-ZA"/>
        </w:rPr>
      </w:pPr>
    </w:p>
    <w:p w:rsidR="006260AD" w:rsidRPr="00AA68D6" w:rsidRDefault="00583500" w:rsidP="00AA68D6">
      <w:pPr>
        <w:pStyle w:val="ListParagraph"/>
        <w:numPr>
          <w:ilvl w:val="1"/>
          <w:numId w:val="1"/>
        </w:numPr>
        <w:spacing w:line="360" w:lineRule="auto"/>
        <w:ind w:hanging="792"/>
        <w:jc w:val="both"/>
        <w:rPr>
          <w:rFonts w:ascii="Arial" w:hAnsi="Arial" w:cs="Arial"/>
          <w:lang w:val="en-ZA" w:eastAsia="en-ZA"/>
        </w:rPr>
      </w:pPr>
      <w:r w:rsidRPr="00AA68D6">
        <w:rPr>
          <w:rFonts w:ascii="Arial" w:hAnsi="Arial" w:cs="Arial"/>
          <w:lang w:val="en-ZA" w:eastAsia="en-ZA"/>
        </w:rPr>
        <w:t xml:space="preserve">On </w:t>
      </w:r>
      <w:r w:rsidR="00FF207E">
        <w:rPr>
          <w:rFonts w:ascii="Arial" w:hAnsi="Arial" w:cs="Arial"/>
          <w:lang w:val="en-ZA" w:eastAsia="en-ZA"/>
        </w:rPr>
        <w:t xml:space="preserve">7 April 2017, </w:t>
      </w:r>
      <w:r w:rsidRPr="00AA68D6">
        <w:rPr>
          <w:rFonts w:ascii="Arial" w:hAnsi="Arial" w:cs="Arial"/>
          <w:lang w:val="en-ZA" w:eastAsia="en-ZA"/>
        </w:rPr>
        <w:t>the Authority published a Positon Paper on th</w:t>
      </w:r>
      <w:r w:rsidR="005C4D70" w:rsidRPr="00AA68D6">
        <w:rPr>
          <w:rFonts w:ascii="Arial" w:hAnsi="Arial" w:cs="Arial"/>
          <w:lang w:val="en-ZA" w:eastAsia="en-ZA"/>
        </w:rPr>
        <w:t>e</w:t>
      </w:r>
      <w:r w:rsidRPr="00AA68D6">
        <w:rPr>
          <w:rFonts w:ascii="Arial" w:hAnsi="Arial" w:cs="Arial"/>
          <w:lang w:val="en-ZA" w:eastAsia="en-ZA"/>
        </w:rPr>
        <w:t xml:space="preserve"> Framework for Dynamic and </w:t>
      </w:r>
      <w:r w:rsidR="005C4D70" w:rsidRPr="00AA68D6">
        <w:rPr>
          <w:rFonts w:ascii="Arial" w:hAnsi="Arial" w:cs="Arial"/>
          <w:lang w:val="en-ZA" w:eastAsia="en-ZA"/>
        </w:rPr>
        <w:t>Opportunistic</w:t>
      </w:r>
      <w:r w:rsidRPr="00AA68D6">
        <w:rPr>
          <w:rFonts w:ascii="Arial" w:hAnsi="Arial" w:cs="Arial"/>
          <w:lang w:val="en-ZA" w:eastAsia="en-ZA"/>
        </w:rPr>
        <w:t xml:space="preserve"> Spectrum Management</w:t>
      </w:r>
      <w:r w:rsidR="005C4D70" w:rsidRPr="00AA68D6">
        <w:rPr>
          <w:rFonts w:ascii="Arial" w:hAnsi="Arial" w:cs="Arial"/>
          <w:lang w:val="en-ZA" w:eastAsia="en-ZA"/>
        </w:rPr>
        <w:t xml:space="preserve"> (the Position Paper)</w:t>
      </w:r>
      <w:r w:rsidR="00007F82" w:rsidRPr="00AA68D6">
        <w:rPr>
          <w:rFonts w:ascii="Arial" w:hAnsi="Arial" w:cs="Arial"/>
          <w:lang w:val="en-ZA" w:eastAsia="en-ZA"/>
        </w:rPr>
        <w:t>, in government gazette number 40772</w:t>
      </w:r>
      <w:r w:rsidRPr="00AA68D6">
        <w:rPr>
          <w:rFonts w:ascii="Arial" w:hAnsi="Arial" w:cs="Arial"/>
          <w:lang w:val="en-ZA" w:eastAsia="en-ZA"/>
        </w:rPr>
        <w:t xml:space="preserve">. </w:t>
      </w:r>
      <w:r w:rsidR="00FF207E">
        <w:rPr>
          <w:rFonts w:ascii="Arial" w:hAnsi="Arial" w:cs="Arial"/>
          <w:lang w:val="en-ZA" w:eastAsia="en-ZA"/>
        </w:rPr>
        <w:t>Subsequently, o</w:t>
      </w:r>
      <w:r w:rsidR="00FF207E" w:rsidRPr="00AA68D6">
        <w:rPr>
          <w:rFonts w:ascii="Arial" w:hAnsi="Arial" w:cs="Arial"/>
          <w:lang w:val="en-ZA" w:eastAsia="en-ZA"/>
        </w:rPr>
        <w:t xml:space="preserve">n </w:t>
      </w:r>
      <w:r w:rsidR="00FF207E">
        <w:rPr>
          <w:rFonts w:ascii="Arial" w:hAnsi="Arial" w:cs="Arial"/>
          <w:lang w:val="en-ZA" w:eastAsia="en-ZA"/>
        </w:rPr>
        <w:t>28</w:t>
      </w:r>
      <w:r w:rsidR="00FF207E" w:rsidRPr="00AA68D6">
        <w:rPr>
          <w:rFonts w:ascii="Arial" w:hAnsi="Arial" w:cs="Arial"/>
          <w:lang w:val="en-ZA" w:eastAsia="en-ZA"/>
        </w:rPr>
        <w:t xml:space="preserve"> April 2017, the Authority published in government gazette number 40</w:t>
      </w:r>
      <w:r w:rsidR="00FF207E">
        <w:rPr>
          <w:rFonts w:ascii="Arial" w:hAnsi="Arial" w:cs="Arial"/>
          <w:lang w:val="en-ZA" w:eastAsia="en-ZA"/>
        </w:rPr>
        <w:t>815</w:t>
      </w:r>
      <w:r w:rsidR="00FF207E" w:rsidRPr="00AA68D6">
        <w:rPr>
          <w:rFonts w:ascii="Arial" w:hAnsi="Arial" w:cs="Arial"/>
          <w:lang w:val="en-ZA" w:eastAsia="en-ZA"/>
        </w:rPr>
        <w:t>, a Notice Regarding Regulations on the Use of Television White Spaces for public comment (the draft TVW</w:t>
      </w:r>
      <w:r w:rsidR="00FF207E">
        <w:rPr>
          <w:rFonts w:ascii="Arial" w:hAnsi="Arial" w:cs="Arial"/>
          <w:lang w:val="en-ZA" w:eastAsia="en-ZA"/>
        </w:rPr>
        <w:t>S</w:t>
      </w:r>
      <w:r w:rsidR="00FF207E" w:rsidRPr="00AA68D6">
        <w:rPr>
          <w:rFonts w:ascii="Arial" w:hAnsi="Arial" w:cs="Arial"/>
          <w:lang w:val="en-ZA" w:eastAsia="en-ZA"/>
        </w:rPr>
        <w:t xml:space="preserve"> Regulations)</w:t>
      </w:r>
      <w:r w:rsidR="00FF207E">
        <w:rPr>
          <w:rFonts w:ascii="Arial" w:hAnsi="Arial" w:cs="Arial"/>
          <w:lang w:val="en-ZA" w:eastAsia="en-ZA"/>
        </w:rPr>
        <w:t>.</w:t>
      </w:r>
      <w:r w:rsidR="00FF207E" w:rsidRPr="00AA68D6">
        <w:rPr>
          <w:rFonts w:ascii="Arial" w:hAnsi="Arial" w:cs="Arial"/>
          <w:lang w:val="en-ZA" w:eastAsia="en-ZA"/>
        </w:rPr>
        <w:t xml:space="preserve"> The closing date for written comments is 19 May 2017. </w:t>
      </w:r>
      <w:r w:rsidR="00600597" w:rsidRPr="00AA68D6">
        <w:rPr>
          <w:rFonts w:ascii="Arial" w:hAnsi="Arial" w:cs="Arial"/>
          <w:lang w:val="en-ZA" w:eastAsia="en-ZA"/>
        </w:rPr>
        <w:t xml:space="preserve">The NAB wishes to raise the following procedural </w:t>
      </w:r>
      <w:r w:rsidR="00146F95" w:rsidRPr="00AA68D6">
        <w:rPr>
          <w:rFonts w:ascii="Arial" w:hAnsi="Arial" w:cs="Arial"/>
          <w:lang w:val="en-ZA" w:eastAsia="en-ZA"/>
        </w:rPr>
        <w:t>concerns</w:t>
      </w:r>
      <w:r w:rsidR="00600597" w:rsidRPr="00AA68D6">
        <w:rPr>
          <w:rFonts w:ascii="Arial" w:hAnsi="Arial" w:cs="Arial"/>
          <w:lang w:val="en-ZA" w:eastAsia="en-ZA"/>
        </w:rPr>
        <w:t>:</w:t>
      </w:r>
    </w:p>
    <w:p w:rsidR="00146F95" w:rsidRPr="00AA68D6" w:rsidRDefault="00146F95" w:rsidP="00AA68D6">
      <w:pPr>
        <w:pStyle w:val="ListParagraph"/>
        <w:spacing w:line="360" w:lineRule="auto"/>
        <w:ind w:left="1922"/>
        <w:jc w:val="both"/>
        <w:rPr>
          <w:rFonts w:ascii="Arial" w:hAnsi="Arial" w:cs="Arial"/>
          <w:lang w:val="en-ZA" w:eastAsia="en-ZA"/>
        </w:rPr>
      </w:pPr>
    </w:p>
    <w:p w:rsidR="00343448" w:rsidRPr="00AA68D6" w:rsidRDefault="00146F95" w:rsidP="00AA68D6">
      <w:pPr>
        <w:pStyle w:val="ListParagraph"/>
        <w:numPr>
          <w:ilvl w:val="2"/>
          <w:numId w:val="1"/>
        </w:numPr>
        <w:spacing w:after="0" w:line="360" w:lineRule="auto"/>
        <w:ind w:left="1560" w:hanging="709"/>
        <w:jc w:val="both"/>
        <w:rPr>
          <w:rFonts w:ascii="Arial" w:eastAsia="Calibri" w:hAnsi="Arial" w:cs="Arial"/>
        </w:rPr>
      </w:pPr>
      <w:r w:rsidRPr="00AA68D6">
        <w:rPr>
          <w:rFonts w:ascii="Arial" w:hAnsi="Arial" w:cs="Arial"/>
          <w:lang w:val="en-ZA" w:eastAsia="en-ZA"/>
        </w:rPr>
        <w:t xml:space="preserve">The regulations have </w:t>
      </w:r>
      <w:r w:rsidR="000A1AE8">
        <w:rPr>
          <w:rFonts w:ascii="Arial" w:hAnsi="Arial" w:cs="Arial"/>
          <w:lang w:val="en-ZA" w:eastAsia="en-ZA"/>
        </w:rPr>
        <w:t>been drafted in a policy vacuum</w:t>
      </w:r>
      <w:r w:rsidRPr="00AA68D6">
        <w:rPr>
          <w:rFonts w:ascii="Arial" w:hAnsi="Arial" w:cs="Arial"/>
          <w:lang w:val="en-ZA" w:eastAsia="en-ZA"/>
        </w:rPr>
        <w:t>, as to our knowledge, there is no national policy on T</w:t>
      </w:r>
      <w:r w:rsidR="000E535F" w:rsidRPr="00AA68D6">
        <w:rPr>
          <w:rFonts w:ascii="Arial" w:hAnsi="Arial" w:cs="Arial"/>
          <w:lang w:val="en-ZA" w:eastAsia="en-ZA"/>
        </w:rPr>
        <w:t>V</w:t>
      </w:r>
      <w:r w:rsidRPr="00AA68D6">
        <w:rPr>
          <w:rFonts w:ascii="Arial" w:hAnsi="Arial" w:cs="Arial"/>
          <w:lang w:val="en-ZA" w:eastAsia="en-ZA"/>
        </w:rPr>
        <w:t>WS in place, nor is there evidence that the Authority has consulted with the Policy maker in taking these steps</w:t>
      </w:r>
      <w:r w:rsidR="00364A65" w:rsidRPr="00AA68D6">
        <w:rPr>
          <w:rFonts w:ascii="Arial" w:hAnsi="Arial" w:cs="Arial"/>
          <w:lang w:val="en-ZA" w:eastAsia="en-ZA"/>
        </w:rPr>
        <w:t xml:space="preserve">. </w:t>
      </w:r>
      <w:r w:rsidR="00343448" w:rsidRPr="00AA68D6">
        <w:rPr>
          <w:rFonts w:ascii="Arial" w:hAnsi="Arial" w:cs="Arial"/>
        </w:rPr>
        <w:t>The ITU has encouraged countries to participate actively in studies on the deployment and use of cognitive radio systems (CRS) such as the TVWS</w:t>
      </w:r>
      <w:r w:rsidR="00343448" w:rsidRPr="00AA68D6">
        <w:rPr>
          <w:rStyle w:val="FootnoteReference"/>
          <w:rFonts w:ascii="Arial" w:hAnsi="Arial" w:cs="Arial"/>
        </w:rPr>
        <w:footnoteReference w:id="3"/>
      </w:r>
      <w:r w:rsidR="00343448" w:rsidRPr="00AA68D6">
        <w:rPr>
          <w:rFonts w:ascii="Arial" w:hAnsi="Arial" w:cs="Arial"/>
        </w:rPr>
        <w:t xml:space="preserve"> and has </w:t>
      </w:r>
      <w:r w:rsidR="00364A65" w:rsidRPr="00AA68D6">
        <w:rPr>
          <w:rFonts w:ascii="Arial" w:hAnsi="Arial" w:cs="Arial"/>
        </w:rPr>
        <w:t xml:space="preserve">implored on </w:t>
      </w:r>
      <w:r w:rsidR="00343448" w:rsidRPr="00AA68D6">
        <w:rPr>
          <w:rFonts w:ascii="Arial" w:hAnsi="Arial" w:cs="Arial"/>
        </w:rPr>
        <w:t xml:space="preserve">countries participating in these studies to take into account that any radio system implementing CRS technology needs to operate in accordance with the provisions of the ITU </w:t>
      </w:r>
      <w:r w:rsidR="00364A65" w:rsidRPr="00AA68D6">
        <w:rPr>
          <w:rFonts w:ascii="Arial" w:hAnsi="Arial" w:cs="Arial"/>
        </w:rPr>
        <w:t>Radio Regulations. It further notes</w:t>
      </w:r>
      <w:r w:rsidR="00343448" w:rsidRPr="00AA68D6">
        <w:rPr>
          <w:rFonts w:ascii="Arial" w:hAnsi="Arial" w:cs="Arial"/>
        </w:rPr>
        <w:t xml:space="preserve"> that the use of CRS does not exempt countries from their obligations </w:t>
      </w:r>
      <w:r w:rsidR="00364A65" w:rsidRPr="00AA68D6">
        <w:rPr>
          <w:rFonts w:ascii="Arial" w:hAnsi="Arial" w:cs="Arial"/>
        </w:rPr>
        <w:t>on the</w:t>
      </w:r>
      <w:r w:rsidR="00343448" w:rsidRPr="00AA68D6">
        <w:rPr>
          <w:rFonts w:ascii="Arial" w:hAnsi="Arial" w:cs="Arial"/>
        </w:rPr>
        <w:t xml:space="preserve"> p</w:t>
      </w:r>
      <w:r w:rsidR="00364A65" w:rsidRPr="00AA68D6">
        <w:rPr>
          <w:rFonts w:ascii="Arial" w:hAnsi="Arial" w:cs="Arial"/>
        </w:rPr>
        <w:t>rotection of stations of other countries</w:t>
      </w:r>
      <w:r w:rsidR="00343448" w:rsidRPr="00AA68D6">
        <w:rPr>
          <w:rFonts w:ascii="Arial" w:hAnsi="Arial" w:cs="Arial"/>
        </w:rPr>
        <w:t xml:space="preserve"> operating in accordance with the Radio Regulations</w:t>
      </w:r>
      <w:r w:rsidR="00364A65" w:rsidRPr="00AA68D6">
        <w:rPr>
          <w:rFonts w:ascii="Arial" w:hAnsi="Arial" w:cs="Arial"/>
        </w:rPr>
        <w:t>.</w:t>
      </w:r>
      <w:r w:rsidR="00343448" w:rsidRPr="00AA68D6">
        <w:rPr>
          <w:rFonts w:ascii="Arial" w:hAnsi="Arial" w:cs="Arial"/>
        </w:rPr>
        <w:t xml:space="preserve"> </w:t>
      </w:r>
    </w:p>
    <w:p w:rsidR="00C81F66" w:rsidRPr="00AA68D6" w:rsidRDefault="00C81F66" w:rsidP="00AA68D6">
      <w:pPr>
        <w:pStyle w:val="ListParagraph"/>
        <w:spacing w:line="360" w:lineRule="auto"/>
        <w:jc w:val="both"/>
        <w:rPr>
          <w:rFonts w:ascii="Arial" w:hAnsi="Arial" w:cs="Arial"/>
          <w:lang w:val="en-ZA" w:eastAsia="en-ZA"/>
        </w:rPr>
      </w:pPr>
    </w:p>
    <w:p w:rsidR="00C81F66" w:rsidRPr="00AA68D6" w:rsidRDefault="00F01648" w:rsidP="00AA68D6">
      <w:pPr>
        <w:pStyle w:val="ListParagraph"/>
        <w:numPr>
          <w:ilvl w:val="2"/>
          <w:numId w:val="1"/>
        </w:numPr>
        <w:spacing w:line="360" w:lineRule="auto"/>
        <w:ind w:left="1560" w:hanging="709"/>
        <w:jc w:val="both"/>
        <w:rPr>
          <w:rFonts w:ascii="Arial" w:hAnsi="Arial" w:cs="Arial"/>
          <w:lang w:val="en-ZA" w:eastAsia="en-ZA"/>
        </w:rPr>
      </w:pPr>
      <w:r w:rsidRPr="00AA68D6">
        <w:rPr>
          <w:rFonts w:ascii="Arial" w:hAnsi="Arial" w:cs="Arial"/>
          <w:lang w:val="en-ZA" w:eastAsia="en-ZA"/>
        </w:rPr>
        <w:lastRenderedPageBreak/>
        <w:t xml:space="preserve">The Authority indicates it conducted extensive </w:t>
      </w:r>
      <w:r w:rsidR="000E535F" w:rsidRPr="00AA68D6">
        <w:rPr>
          <w:rFonts w:ascii="Arial" w:hAnsi="Arial" w:cs="Arial"/>
          <w:lang w:val="en-ZA" w:eastAsia="en-ZA"/>
        </w:rPr>
        <w:t>research and studies on DSA and possible use of TVWS</w:t>
      </w:r>
      <w:r w:rsidR="000E535F" w:rsidRPr="00AA68D6">
        <w:rPr>
          <w:rStyle w:val="FootnoteReference"/>
          <w:rFonts w:ascii="Arial" w:hAnsi="Arial" w:cs="Arial"/>
          <w:lang w:val="en-ZA" w:eastAsia="en-ZA"/>
        </w:rPr>
        <w:footnoteReference w:id="4"/>
      </w:r>
      <w:r w:rsidR="000E535F" w:rsidRPr="00AA68D6">
        <w:rPr>
          <w:rFonts w:ascii="Arial" w:hAnsi="Arial" w:cs="Arial"/>
          <w:lang w:val="en-ZA" w:eastAsia="en-ZA"/>
        </w:rPr>
        <w:t xml:space="preserve">. In our view it would be useful for the Authority to make </w:t>
      </w:r>
      <w:r w:rsidR="006375E5">
        <w:rPr>
          <w:rFonts w:ascii="Arial" w:hAnsi="Arial" w:cs="Arial"/>
          <w:lang w:val="en-ZA" w:eastAsia="en-ZA"/>
        </w:rPr>
        <w:t xml:space="preserve">the </w:t>
      </w:r>
      <w:r w:rsidR="000E535F" w:rsidRPr="00AA68D6">
        <w:rPr>
          <w:rFonts w:ascii="Arial" w:hAnsi="Arial" w:cs="Arial"/>
          <w:lang w:val="en-ZA" w:eastAsia="en-ZA"/>
        </w:rPr>
        <w:t>results of the research and studies available, in order to assist interested parties in making inputs to this process. On the other hand there</w:t>
      </w:r>
      <w:r w:rsidR="00600597" w:rsidRPr="00AA68D6">
        <w:rPr>
          <w:rFonts w:ascii="Arial" w:hAnsi="Arial" w:cs="Arial"/>
          <w:lang w:val="en-ZA" w:eastAsia="en-ZA"/>
        </w:rPr>
        <w:t xml:space="preserve"> is no evidence that </w:t>
      </w:r>
      <w:r w:rsidR="00C81F66" w:rsidRPr="00AA68D6">
        <w:rPr>
          <w:rFonts w:ascii="Arial" w:hAnsi="Arial" w:cs="Arial"/>
          <w:lang w:val="en-ZA" w:eastAsia="en-ZA"/>
        </w:rPr>
        <w:t>the Authority has</w:t>
      </w:r>
      <w:r w:rsidR="007550AE" w:rsidRPr="00AA68D6">
        <w:rPr>
          <w:rFonts w:ascii="Arial" w:hAnsi="Arial" w:cs="Arial"/>
          <w:lang w:val="en-ZA" w:eastAsia="en-ZA"/>
        </w:rPr>
        <w:t xml:space="preserve"> </w:t>
      </w:r>
      <w:r w:rsidR="00F51349" w:rsidRPr="00AA68D6">
        <w:rPr>
          <w:rFonts w:ascii="Arial" w:hAnsi="Arial" w:cs="Arial"/>
          <w:lang w:val="en-ZA" w:eastAsia="en-ZA"/>
        </w:rPr>
        <w:t>“supported further studies on topics identified in the discussion document”</w:t>
      </w:r>
      <w:r w:rsidR="00146F95" w:rsidRPr="00AA68D6">
        <w:rPr>
          <w:rFonts w:ascii="Arial" w:hAnsi="Arial" w:cs="Arial"/>
          <w:lang w:val="en-ZA" w:eastAsia="en-ZA"/>
        </w:rPr>
        <w:t xml:space="preserve"> as it undertook to</w:t>
      </w:r>
      <w:r w:rsidR="006375E5">
        <w:rPr>
          <w:rFonts w:ascii="Arial" w:hAnsi="Arial" w:cs="Arial"/>
          <w:lang w:val="en-ZA" w:eastAsia="en-ZA"/>
        </w:rPr>
        <w:t xml:space="preserve"> do so</w:t>
      </w:r>
      <w:r w:rsidR="00146F95" w:rsidRPr="00AA68D6">
        <w:rPr>
          <w:rFonts w:ascii="Arial" w:hAnsi="Arial" w:cs="Arial"/>
          <w:lang w:val="en-ZA" w:eastAsia="en-ZA"/>
        </w:rPr>
        <w:t xml:space="preserve"> in its Findings Document</w:t>
      </w:r>
      <w:r w:rsidRPr="00AA68D6">
        <w:rPr>
          <w:rFonts w:ascii="Arial" w:hAnsi="Arial" w:cs="Arial"/>
          <w:lang w:val="en-ZA" w:eastAsia="en-ZA"/>
        </w:rPr>
        <w:t>. Our view is t</w:t>
      </w:r>
      <w:r w:rsidR="000E535F" w:rsidRPr="00AA68D6">
        <w:rPr>
          <w:rFonts w:ascii="Arial" w:hAnsi="Arial" w:cs="Arial"/>
          <w:lang w:val="en-ZA" w:eastAsia="en-ZA"/>
        </w:rPr>
        <w:t>hat t</w:t>
      </w:r>
      <w:r w:rsidRPr="00AA68D6">
        <w:rPr>
          <w:rFonts w:ascii="Arial" w:hAnsi="Arial" w:cs="Arial"/>
          <w:lang w:val="en-ZA" w:eastAsia="en-ZA"/>
        </w:rPr>
        <w:t>he Authority should start investigating prospects of utilising telco frequencies for this purpose</w:t>
      </w:r>
      <w:r w:rsidR="000E535F" w:rsidRPr="00AA68D6">
        <w:rPr>
          <w:rFonts w:ascii="Arial" w:hAnsi="Arial" w:cs="Arial"/>
          <w:lang w:val="en-ZA" w:eastAsia="en-ZA"/>
        </w:rPr>
        <w:t xml:space="preserve"> as well</w:t>
      </w:r>
      <w:r w:rsidR="004B47A4" w:rsidRPr="00AA68D6">
        <w:rPr>
          <w:rFonts w:ascii="Arial" w:hAnsi="Arial" w:cs="Arial"/>
          <w:lang w:val="en-ZA" w:eastAsia="en-ZA"/>
        </w:rPr>
        <w:t>. From our understanding, the TVWS tests conducted have been based on theory and done among existing analogue television broadcasters</w:t>
      </w:r>
      <w:r w:rsidR="00146F95" w:rsidRPr="00AA68D6">
        <w:rPr>
          <w:rFonts w:ascii="Arial" w:hAnsi="Arial" w:cs="Arial"/>
          <w:lang w:val="en-ZA" w:eastAsia="en-ZA"/>
        </w:rPr>
        <w:t xml:space="preserve">; </w:t>
      </w:r>
    </w:p>
    <w:p w:rsidR="007550AE" w:rsidRPr="00AA68D6" w:rsidRDefault="007550AE" w:rsidP="00AA68D6">
      <w:pPr>
        <w:pStyle w:val="ListParagraph"/>
        <w:spacing w:line="360" w:lineRule="auto"/>
        <w:jc w:val="both"/>
        <w:rPr>
          <w:rFonts w:ascii="Arial" w:hAnsi="Arial" w:cs="Arial"/>
          <w:lang w:val="en-ZA" w:eastAsia="en-ZA"/>
        </w:rPr>
      </w:pPr>
    </w:p>
    <w:p w:rsidR="00F51349" w:rsidRPr="00AA68D6" w:rsidRDefault="00146F95" w:rsidP="00AA68D6">
      <w:pPr>
        <w:pStyle w:val="ListParagraph"/>
        <w:numPr>
          <w:ilvl w:val="2"/>
          <w:numId w:val="1"/>
        </w:numPr>
        <w:spacing w:line="360" w:lineRule="auto"/>
        <w:ind w:left="1560" w:hanging="709"/>
        <w:jc w:val="both"/>
        <w:rPr>
          <w:rFonts w:ascii="Arial" w:hAnsi="Arial" w:cs="Arial"/>
          <w:lang w:val="en-ZA" w:eastAsia="en-ZA"/>
        </w:rPr>
      </w:pPr>
      <w:r w:rsidRPr="00AA68D6">
        <w:rPr>
          <w:rFonts w:ascii="Arial" w:hAnsi="Arial" w:cs="Arial"/>
          <w:lang w:val="en-ZA" w:eastAsia="en-ZA"/>
        </w:rPr>
        <w:t>O</w:t>
      </w:r>
      <w:r w:rsidR="00F51349" w:rsidRPr="00AA68D6">
        <w:rPr>
          <w:rFonts w:ascii="Arial" w:hAnsi="Arial" w:cs="Arial"/>
          <w:lang w:val="en-ZA" w:eastAsia="en-ZA"/>
        </w:rPr>
        <w:t xml:space="preserve">ther </w:t>
      </w:r>
      <w:r w:rsidR="007550AE" w:rsidRPr="00AA68D6">
        <w:rPr>
          <w:rFonts w:ascii="Arial" w:hAnsi="Arial" w:cs="Arial"/>
          <w:lang w:val="en-ZA" w:eastAsia="en-ZA"/>
        </w:rPr>
        <w:t>interested parties had</w:t>
      </w:r>
      <w:r w:rsidR="00F51349" w:rsidRPr="00AA68D6">
        <w:rPr>
          <w:rFonts w:ascii="Arial" w:hAnsi="Arial" w:cs="Arial"/>
          <w:lang w:val="en-ZA" w:eastAsia="en-ZA"/>
        </w:rPr>
        <w:t xml:space="preserve"> implored the Authority to learn from regulators that have TVW</w:t>
      </w:r>
      <w:r w:rsidR="002B2275">
        <w:rPr>
          <w:rFonts w:ascii="Arial" w:hAnsi="Arial" w:cs="Arial"/>
          <w:lang w:val="en-ZA" w:eastAsia="en-ZA"/>
        </w:rPr>
        <w:t>S</w:t>
      </w:r>
      <w:r w:rsidR="00F51349" w:rsidRPr="00AA68D6">
        <w:rPr>
          <w:rFonts w:ascii="Arial" w:hAnsi="Arial" w:cs="Arial"/>
          <w:lang w:val="en-ZA" w:eastAsia="en-ZA"/>
        </w:rPr>
        <w:t xml:space="preserve"> regulatory </w:t>
      </w:r>
      <w:r w:rsidR="007550AE" w:rsidRPr="00AA68D6">
        <w:rPr>
          <w:rFonts w:ascii="Arial" w:hAnsi="Arial" w:cs="Arial"/>
          <w:lang w:val="en-ZA" w:eastAsia="en-ZA"/>
        </w:rPr>
        <w:t>frameworks in place,</w:t>
      </w:r>
      <w:r w:rsidR="00F51349" w:rsidRPr="00AA68D6">
        <w:rPr>
          <w:rStyle w:val="FootnoteReference"/>
          <w:rFonts w:ascii="Arial" w:hAnsi="Arial" w:cs="Arial"/>
          <w:lang w:val="en-ZA" w:eastAsia="en-ZA"/>
        </w:rPr>
        <w:footnoteReference w:id="5"/>
      </w:r>
      <w:r w:rsidR="007550AE" w:rsidRPr="00AA68D6">
        <w:rPr>
          <w:rFonts w:ascii="Arial" w:hAnsi="Arial" w:cs="Arial"/>
          <w:lang w:val="en-ZA" w:eastAsia="en-ZA"/>
        </w:rPr>
        <w:t xml:space="preserve"> however there is no evidence that the Authority conducted any benchmarking exercise to inform the draft</w:t>
      </w:r>
      <w:r w:rsidRPr="00AA68D6">
        <w:rPr>
          <w:rFonts w:ascii="Arial" w:hAnsi="Arial" w:cs="Arial"/>
          <w:lang w:val="en-ZA" w:eastAsia="en-ZA"/>
        </w:rPr>
        <w:t xml:space="preserve"> Regulations</w:t>
      </w:r>
      <w:r w:rsidR="005A0094" w:rsidRPr="00AA68D6">
        <w:rPr>
          <w:rFonts w:ascii="Arial" w:hAnsi="Arial" w:cs="Arial"/>
          <w:lang w:val="en-ZA" w:eastAsia="en-ZA"/>
        </w:rPr>
        <w:t xml:space="preserve">. Should such studies be available, the NAB requests that they be </w:t>
      </w:r>
      <w:r w:rsidR="006375E5">
        <w:rPr>
          <w:rFonts w:ascii="Arial" w:hAnsi="Arial" w:cs="Arial"/>
          <w:lang w:val="en-ZA" w:eastAsia="en-ZA"/>
        </w:rPr>
        <w:t xml:space="preserve">made </w:t>
      </w:r>
      <w:r w:rsidR="005A0094" w:rsidRPr="00AA68D6">
        <w:rPr>
          <w:rFonts w:ascii="Arial" w:hAnsi="Arial" w:cs="Arial"/>
          <w:lang w:val="en-ZA" w:eastAsia="en-ZA"/>
        </w:rPr>
        <w:t>publicly available to interested parties</w:t>
      </w:r>
      <w:r w:rsidRPr="00AA68D6">
        <w:rPr>
          <w:rFonts w:ascii="Arial" w:hAnsi="Arial" w:cs="Arial"/>
          <w:lang w:val="en-ZA" w:eastAsia="en-ZA"/>
        </w:rPr>
        <w:t>;</w:t>
      </w:r>
    </w:p>
    <w:p w:rsidR="00600597" w:rsidRPr="00AA68D6" w:rsidRDefault="00600597" w:rsidP="00AA68D6">
      <w:pPr>
        <w:pStyle w:val="ListParagraph"/>
        <w:spacing w:line="360" w:lineRule="auto"/>
        <w:jc w:val="both"/>
        <w:rPr>
          <w:rFonts w:ascii="Arial" w:hAnsi="Arial" w:cs="Arial"/>
          <w:lang w:val="en-ZA" w:eastAsia="en-ZA"/>
        </w:rPr>
      </w:pPr>
    </w:p>
    <w:p w:rsidR="00600597" w:rsidRPr="00AA68D6" w:rsidRDefault="00600597" w:rsidP="00AA68D6">
      <w:pPr>
        <w:pStyle w:val="ListParagraph"/>
        <w:numPr>
          <w:ilvl w:val="2"/>
          <w:numId w:val="1"/>
        </w:numPr>
        <w:spacing w:line="360" w:lineRule="auto"/>
        <w:ind w:left="1560" w:hanging="709"/>
        <w:jc w:val="both"/>
        <w:rPr>
          <w:rFonts w:ascii="Arial" w:hAnsi="Arial" w:cs="Arial"/>
          <w:lang w:val="en-ZA" w:eastAsia="en-ZA"/>
        </w:rPr>
      </w:pPr>
      <w:r w:rsidRPr="00AA68D6">
        <w:rPr>
          <w:rFonts w:ascii="Arial" w:hAnsi="Arial" w:cs="Arial"/>
          <w:lang w:val="en-ZA" w:eastAsia="en-ZA"/>
        </w:rPr>
        <w:t xml:space="preserve">There is no evidence that in </w:t>
      </w:r>
      <w:r w:rsidR="0044599D" w:rsidRPr="00AA68D6">
        <w:rPr>
          <w:rFonts w:ascii="Arial" w:hAnsi="Arial" w:cs="Arial"/>
          <w:lang w:val="en-ZA" w:eastAsia="en-ZA"/>
        </w:rPr>
        <w:t>promulgating</w:t>
      </w:r>
      <w:r w:rsidRPr="00AA68D6">
        <w:rPr>
          <w:rFonts w:ascii="Arial" w:hAnsi="Arial" w:cs="Arial"/>
          <w:lang w:val="en-ZA" w:eastAsia="en-ZA"/>
        </w:rPr>
        <w:t xml:space="preserve"> these regulations, the </w:t>
      </w:r>
      <w:r w:rsidR="0044599D" w:rsidRPr="00AA68D6">
        <w:rPr>
          <w:rFonts w:ascii="Arial" w:hAnsi="Arial" w:cs="Arial"/>
          <w:lang w:val="en-ZA" w:eastAsia="en-ZA"/>
        </w:rPr>
        <w:t>Authority</w:t>
      </w:r>
      <w:r w:rsidRPr="00AA68D6">
        <w:rPr>
          <w:rFonts w:ascii="Arial" w:hAnsi="Arial" w:cs="Arial"/>
          <w:lang w:val="en-ZA" w:eastAsia="en-ZA"/>
        </w:rPr>
        <w:t xml:space="preserve"> has had regard</w:t>
      </w:r>
      <w:r w:rsidR="00123F22">
        <w:rPr>
          <w:rFonts w:ascii="Arial" w:hAnsi="Arial" w:cs="Arial"/>
          <w:lang w:val="en-ZA" w:eastAsia="en-ZA"/>
        </w:rPr>
        <w:t xml:space="preserve"> for</w:t>
      </w:r>
      <w:r w:rsidR="0044599D" w:rsidRPr="00AA68D6">
        <w:rPr>
          <w:rFonts w:ascii="Arial" w:hAnsi="Arial" w:cs="Arial"/>
          <w:lang w:val="en-ZA" w:eastAsia="en-ZA"/>
        </w:rPr>
        <w:t xml:space="preserve"> orderly spectrum management principles as the identified frequency bands (470-694MHz) for TVW</w:t>
      </w:r>
      <w:r w:rsidR="002B2275">
        <w:rPr>
          <w:rFonts w:ascii="Arial" w:hAnsi="Arial" w:cs="Arial"/>
          <w:lang w:val="en-ZA" w:eastAsia="en-ZA"/>
        </w:rPr>
        <w:t>S</w:t>
      </w:r>
      <w:r w:rsidR="0044599D" w:rsidRPr="00AA68D6">
        <w:rPr>
          <w:rFonts w:ascii="Arial" w:hAnsi="Arial" w:cs="Arial"/>
          <w:lang w:val="en-ZA" w:eastAsia="en-ZA"/>
        </w:rPr>
        <w:t xml:space="preserve"> are currently occupied by broadcasting service licensees who are migrating to digital terrestrial </w:t>
      </w:r>
      <w:r w:rsidR="00B42701" w:rsidRPr="00AA68D6">
        <w:rPr>
          <w:rFonts w:ascii="Arial" w:hAnsi="Arial" w:cs="Arial"/>
          <w:lang w:val="en-ZA" w:eastAsia="en-ZA"/>
        </w:rPr>
        <w:t>television (DTT).</w:t>
      </w:r>
      <w:r w:rsidR="008B1643" w:rsidRPr="00AA68D6">
        <w:rPr>
          <w:rFonts w:ascii="Arial" w:hAnsi="Arial" w:cs="Arial"/>
          <w:lang w:val="en-ZA" w:eastAsia="en-ZA"/>
        </w:rPr>
        <w:t xml:space="preserve"> </w:t>
      </w:r>
      <w:r w:rsidR="008B1643" w:rsidRPr="00AA68D6">
        <w:rPr>
          <w:rFonts w:ascii="Arial" w:eastAsia="Calibri" w:hAnsi="Arial" w:cs="Arial"/>
        </w:rPr>
        <w:t>The NAB is of th</w:t>
      </w:r>
      <w:r w:rsidR="005A0094" w:rsidRPr="00AA68D6">
        <w:rPr>
          <w:rFonts w:ascii="Arial" w:eastAsia="Calibri" w:hAnsi="Arial" w:cs="Arial"/>
        </w:rPr>
        <w:t>e view that the implementation of the TVWS ahead of a</w:t>
      </w:r>
      <w:r w:rsidR="008B1643" w:rsidRPr="00AA68D6">
        <w:rPr>
          <w:rFonts w:ascii="Arial" w:eastAsia="Calibri" w:hAnsi="Arial" w:cs="Arial"/>
        </w:rPr>
        <w:t xml:space="preserve"> successful Broadcast Digital Migration (BDM)</w:t>
      </w:r>
      <w:r w:rsidR="004B47A4" w:rsidRPr="00AA68D6">
        <w:rPr>
          <w:rFonts w:ascii="Arial" w:eastAsia="Calibri" w:hAnsi="Arial" w:cs="Arial"/>
        </w:rPr>
        <w:t xml:space="preserve"> will</w:t>
      </w:r>
      <w:r w:rsidR="008B1643" w:rsidRPr="00AA68D6">
        <w:rPr>
          <w:rFonts w:ascii="Arial" w:eastAsia="Calibri" w:hAnsi="Arial" w:cs="Arial"/>
        </w:rPr>
        <w:t xml:space="preserve"> result in uncontrolled interference to the primary incumbents when digital migration is finally completed</w:t>
      </w:r>
      <w:r w:rsidR="004B47A4" w:rsidRPr="00AA68D6">
        <w:rPr>
          <w:rFonts w:ascii="Arial" w:eastAsia="Calibri" w:hAnsi="Arial" w:cs="Arial"/>
        </w:rPr>
        <w:t>.</w:t>
      </w:r>
    </w:p>
    <w:p w:rsidR="00B42701" w:rsidRPr="00AA68D6" w:rsidRDefault="00B42701" w:rsidP="00AA68D6">
      <w:pPr>
        <w:pStyle w:val="ListParagraph"/>
        <w:spacing w:line="360" w:lineRule="auto"/>
        <w:jc w:val="both"/>
        <w:rPr>
          <w:rFonts w:ascii="Arial" w:hAnsi="Arial" w:cs="Arial"/>
          <w:lang w:val="en-ZA" w:eastAsia="en-ZA"/>
        </w:rPr>
      </w:pPr>
    </w:p>
    <w:p w:rsidR="00B42701" w:rsidRDefault="00AA68D6" w:rsidP="00AA68D6">
      <w:pPr>
        <w:pStyle w:val="Heading1"/>
        <w:numPr>
          <w:ilvl w:val="0"/>
          <w:numId w:val="1"/>
        </w:numPr>
        <w:spacing w:line="360" w:lineRule="auto"/>
        <w:jc w:val="both"/>
        <w:rPr>
          <w:rFonts w:ascii="Arial" w:hAnsi="Arial" w:cs="Arial"/>
          <w:b/>
          <w:color w:val="auto"/>
          <w:sz w:val="22"/>
          <w:szCs w:val="22"/>
          <w:lang w:val="en-ZA" w:eastAsia="en-ZA"/>
        </w:rPr>
      </w:pPr>
      <w:bookmarkStart w:id="4" w:name="_Toc482112059"/>
      <w:r w:rsidRPr="00AA68D6">
        <w:rPr>
          <w:rFonts w:ascii="Arial" w:hAnsi="Arial" w:cs="Arial"/>
          <w:b/>
          <w:color w:val="auto"/>
          <w:sz w:val="22"/>
          <w:szCs w:val="22"/>
          <w:lang w:val="en-ZA" w:eastAsia="en-ZA"/>
        </w:rPr>
        <w:t>CONCERNS ON THE REGULATIONS</w:t>
      </w:r>
      <w:bookmarkEnd w:id="4"/>
    </w:p>
    <w:p w:rsidR="00AA68D6" w:rsidRPr="00AA68D6" w:rsidRDefault="00AA68D6" w:rsidP="00AA68D6">
      <w:pPr>
        <w:rPr>
          <w:lang w:val="en-ZA" w:eastAsia="en-ZA"/>
        </w:rPr>
      </w:pPr>
    </w:p>
    <w:p w:rsidR="00212139" w:rsidRPr="00212139" w:rsidRDefault="00B42701" w:rsidP="00212139">
      <w:pPr>
        <w:pStyle w:val="Heading2"/>
        <w:numPr>
          <w:ilvl w:val="1"/>
          <w:numId w:val="1"/>
        </w:numPr>
        <w:spacing w:line="360" w:lineRule="auto"/>
        <w:ind w:hanging="792"/>
        <w:rPr>
          <w:rFonts w:ascii="Arial" w:hAnsi="Arial" w:cs="Arial"/>
          <w:b/>
          <w:color w:val="auto"/>
          <w:sz w:val="22"/>
          <w:szCs w:val="22"/>
          <w:lang w:val="en-ZA" w:eastAsia="en-ZA"/>
        </w:rPr>
      </w:pPr>
      <w:bookmarkStart w:id="5" w:name="_Toc482112060"/>
      <w:r w:rsidRPr="00212139">
        <w:rPr>
          <w:rFonts w:ascii="Arial" w:hAnsi="Arial" w:cs="Arial"/>
          <w:b/>
          <w:color w:val="auto"/>
          <w:sz w:val="22"/>
          <w:szCs w:val="22"/>
          <w:lang w:val="en-ZA" w:eastAsia="en-ZA"/>
        </w:rPr>
        <w:t>The protection of primary users</w:t>
      </w:r>
      <w:r w:rsidR="008F72AF" w:rsidRPr="00212139">
        <w:rPr>
          <w:rFonts w:ascii="Arial" w:hAnsi="Arial" w:cs="Arial"/>
          <w:b/>
          <w:color w:val="auto"/>
          <w:sz w:val="22"/>
          <w:szCs w:val="22"/>
          <w:lang w:val="en-ZA" w:eastAsia="en-ZA"/>
        </w:rPr>
        <w:t xml:space="preserve"> and interface monitoring</w:t>
      </w:r>
      <w:bookmarkEnd w:id="5"/>
    </w:p>
    <w:p w:rsidR="00212139" w:rsidRPr="00212139" w:rsidRDefault="00212139" w:rsidP="00212139">
      <w:pPr>
        <w:rPr>
          <w:lang w:val="en-ZA" w:eastAsia="en-ZA"/>
        </w:rPr>
      </w:pPr>
    </w:p>
    <w:p w:rsidR="00C412D0" w:rsidRPr="00AA68D6" w:rsidRDefault="00F01648" w:rsidP="00212139">
      <w:pPr>
        <w:pStyle w:val="ListParagraph"/>
        <w:numPr>
          <w:ilvl w:val="2"/>
          <w:numId w:val="1"/>
        </w:numPr>
        <w:spacing w:line="360" w:lineRule="auto"/>
        <w:ind w:left="1560" w:hanging="709"/>
        <w:jc w:val="both"/>
        <w:rPr>
          <w:rFonts w:ascii="Arial" w:hAnsi="Arial" w:cs="Arial"/>
          <w:lang w:val="en-ZA" w:eastAsia="en-ZA"/>
        </w:rPr>
      </w:pPr>
      <w:r w:rsidRPr="00212139">
        <w:rPr>
          <w:rFonts w:ascii="Arial" w:hAnsi="Arial" w:cs="Arial"/>
          <w:lang w:val="en-ZA" w:eastAsia="en-ZA"/>
        </w:rPr>
        <w:lastRenderedPageBreak/>
        <w:t>The NAB in principle supports the notion</w:t>
      </w:r>
      <w:r w:rsidR="005A0094" w:rsidRPr="00212139">
        <w:rPr>
          <w:rFonts w:ascii="Arial" w:hAnsi="Arial" w:cs="Arial"/>
          <w:lang w:val="en-ZA" w:eastAsia="en-ZA"/>
        </w:rPr>
        <w:t xml:space="preserve"> that primary users be protected at all cost</w:t>
      </w:r>
      <w:r w:rsidR="006375E5">
        <w:rPr>
          <w:rFonts w:ascii="Arial" w:hAnsi="Arial" w:cs="Arial"/>
          <w:lang w:val="en-ZA" w:eastAsia="en-ZA"/>
        </w:rPr>
        <w:t>s from harmful interference by</w:t>
      </w:r>
      <w:r w:rsidR="005A0094" w:rsidRPr="00212139">
        <w:rPr>
          <w:rFonts w:ascii="Arial" w:hAnsi="Arial" w:cs="Arial"/>
          <w:lang w:val="en-ZA" w:eastAsia="en-ZA"/>
        </w:rPr>
        <w:t xml:space="preserve"> TVWS</w:t>
      </w:r>
      <w:r w:rsidR="00D74B17" w:rsidRPr="00212139">
        <w:rPr>
          <w:rFonts w:ascii="Arial" w:hAnsi="Arial" w:cs="Arial"/>
          <w:lang w:val="en-ZA" w:eastAsia="en-ZA"/>
        </w:rPr>
        <w:t>. While this is so, t</w:t>
      </w:r>
      <w:r w:rsidR="000E535F" w:rsidRPr="00212139">
        <w:rPr>
          <w:rFonts w:ascii="Arial" w:hAnsi="Arial" w:cs="Arial"/>
          <w:lang w:val="en-ZA" w:eastAsia="en-ZA"/>
        </w:rPr>
        <w:t xml:space="preserve">he </w:t>
      </w:r>
      <w:r w:rsidR="000E535F" w:rsidRPr="00AA68D6">
        <w:rPr>
          <w:rFonts w:ascii="Arial" w:hAnsi="Arial" w:cs="Arial"/>
          <w:lang w:val="en-ZA" w:eastAsia="en-ZA"/>
        </w:rPr>
        <w:t>Position Paper and the</w:t>
      </w:r>
      <w:r w:rsidR="008F72AF" w:rsidRPr="00AA68D6">
        <w:rPr>
          <w:rFonts w:ascii="Arial" w:hAnsi="Arial" w:cs="Arial"/>
          <w:lang w:val="en-ZA" w:eastAsia="en-ZA"/>
        </w:rPr>
        <w:t xml:space="preserve"> draft Regulations have not mapped out processes and procedures </w:t>
      </w:r>
      <w:r w:rsidR="00D74B17" w:rsidRPr="00AA68D6">
        <w:rPr>
          <w:rFonts w:ascii="Arial" w:hAnsi="Arial" w:cs="Arial"/>
          <w:lang w:val="en-ZA" w:eastAsia="en-ZA"/>
        </w:rPr>
        <w:t>of how harmful interference will be safeguarded. There is further no direction as to how interface will be monitored and what penalties will be meted towards operators of white space devises t</w:t>
      </w:r>
      <w:r w:rsidR="006375E5">
        <w:rPr>
          <w:rFonts w:ascii="Arial" w:hAnsi="Arial" w:cs="Arial"/>
          <w:lang w:val="en-ZA" w:eastAsia="en-ZA"/>
        </w:rPr>
        <w:t xml:space="preserve">hat cause harmful interference to </w:t>
      </w:r>
      <w:r w:rsidR="00D74B17" w:rsidRPr="00AA68D6">
        <w:rPr>
          <w:rFonts w:ascii="Arial" w:hAnsi="Arial" w:cs="Arial"/>
          <w:lang w:val="en-ZA" w:eastAsia="en-ZA"/>
        </w:rPr>
        <w:t xml:space="preserve">broadcasters. </w:t>
      </w:r>
    </w:p>
    <w:p w:rsidR="00C412D0" w:rsidRPr="00AA68D6" w:rsidRDefault="00C412D0" w:rsidP="00AA68D6">
      <w:pPr>
        <w:pStyle w:val="ListParagraph"/>
        <w:spacing w:line="360" w:lineRule="auto"/>
        <w:ind w:left="1560"/>
        <w:jc w:val="both"/>
        <w:rPr>
          <w:rFonts w:ascii="Arial" w:hAnsi="Arial" w:cs="Arial"/>
          <w:lang w:val="en-ZA" w:eastAsia="en-ZA"/>
        </w:rPr>
      </w:pPr>
    </w:p>
    <w:p w:rsidR="000954F5" w:rsidRPr="00AA68D6" w:rsidRDefault="008F72AF" w:rsidP="00AA68D6">
      <w:pPr>
        <w:pStyle w:val="ListParagraph"/>
        <w:numPr>
          <w:ilvl w:val="2"/>
          <w:numId w:val="1"/>
        </w:numPr>
        <w:spacing w:line="360" w:lineRule="auto"/>
        <w:ind w:left="1560" w:hanging="709"/>
        <w:jc w:val="both"/>
        <w:rPr>
          <w:rFonts w:ascii="Arial" w:hAnsi="Arial" w:cs="Arial"/>
          <w:lang w:val="en-ZA" w:eastAsia="en-ZA"/>
        </w:rPr>
      </w:pPr>
      <w:r w:rsidRPr="00AA68D6">
        <w:rPr>
          <w:rFonts w:ascii="Arial" w:hAnsi="Arial" w:cs="Arial"/>
          <w:lang w:val="en-ZA" w:eastAsia="en-ZA"/>
        </w:rPr>
        <w:t xml:space="preserve">The NAB is </w:t>
      </w:r>
      <w:r w:rsidR="00DA03F4">
        <w:rPr>
          <w:rFonts w:ascii="Arial" w:hAnsi="Arial" w:cs="Arial"/>
          <w:lang w:val="en-ZA" w:eastAsia="en-ZA"/>
        </w:rPr>
        <w:t xml:space="preserve">deeply </w:t>
      </w:r>
      <w:r w:rsidRPr="00AA68D6">
        <w:rPr>
          <w:rFonts w:ascii="Arial" w:hAnsi="Arial" w:cs="Arial"/>
          <w:lang w:val="en-ZA" w:eastAsia="en-ZA"/>
        </w:rPr>
        <w:t>concerned about the protection for primary users, as they are currently licence</w:t>
      </w:r>
      <w:r w:rsidR="00DA03F4">
        <w:rPr>
          <w:rFonts w:ascii="Arial" w:hAnsi="Arial" w:cs="Arial"/>
          <w:lang w:val="en-ZA" w:eastAsia="en-ZA"/>
        </w:rPr>
        <w:t>d</w:t>
      </w:r>
      <w:r w:rsidRPr="00AA68D6">
        <w:rPr>
          <w:rFonts w:ascii="Arial" w:hAnsi="Arial" w:cs="Arial"/>
          <w:lang w:val="en-ZA" w:eastAsia="en-ZA"/>
        </w:rPr>
        <w:t xml:space="preserve"> television broadcasters, and interference with these services in effect means </w:t>
      </w:r>
      <w:r w:rsidR="00AA6C39" w:rsidRPr="00AA68D6">
        <w:rPr>
          <w:rFonts w:ascii="Arial" w:hAnsi="Arial" w:cs="Arial"/>
          <w:lang w:val="en-ZA" w:eastAsia="en-ZA"/>
        </w:rPr>
        <w:t xml:space="preserve">potentially </w:t>
      </w:r>
      <w:r w:rsidRPr="00AA68D6">
        <w:rPr>
          <w:rFonts w:ascii="Arial" w:hAnsi="Arial" w:cs="Arial"/>
          <w:lang w:val="en-ZA" w:eastAsia="en-ZA"/>
        </w:rPr>
        <w:t xml:space="preserve">interfering with </w:t>
      </w:r>
      <w:r w:rsidR="000A1AE8">
        <w:rPr>
          <w:rFonts w:ascii="Arial" w:hAnsi="Arial" w:cs="Arial"/>
          <w:lang w:val="en-ZA" w:eastAsia="en-ZA"/>
        </w:rPr>
        <w:t xml:space="preserve"> 14 million</w:t>
      </w:r>
      <w:r w:rsidR="00D74B17" w:rsidRPr="00AA68D6">
        <w:rPr>
          <w:rFonts w:ascii="Arial" w:hAnsi="Arial" w:cs="Arial"/>
          <w:lang w:val="en-ZA" w:eastAsia="en-ZA"/>
        </w:rPr>
        <w:t xml:space="preserve"> South African television households. The</w:t>
      </w:r>
      <w:r w:rsidR="000E535F" w:rsidRPr="00AA68D6">
        <w:rPr>
          <w:rFonts w:ascii="Arial" w:hAnsi="Arial" w:cs="Arial"/>
          <w:lang w:val="en-ZA" w:eastAsia="en-ZA"/>
        </w:rPr>
        <w:t xml:space="preserve"> </w:t>
      </w:r>
      <w:r w:rsidR="00D74B17" w:rsidRPr="00AA68D6">
        <w:rPr>
          <w:rFonts w:ascii="Arial" w:hAnsi="Arial" w:cs="Arial"/>
          <w:lang w:val="en-ZA" w:eastAsia="en-ZA"/>
        </w:rPr>
        <w:t>NAB proposes that</w:t>
      </w:r>
      <w:r w:rsidR="000E535F" w:rsidRPr="00AA68D6">
        <w:rPr>
          <w:rFonts w:ascii="Arial" w:hAnsi="Arial" w:cs="Arial"/>
          <w:lang w:val="en-ZA" w:eastAsia="en-ZA"/>
        </w:rPr>
        <w:t xml:space="preserve"> an all-inclusive task team</w:t>
      </w:r>
      <w:r w:rsidR="00D74B17" w:rsidRPr="00AA68D6">
        <w:rPr>
          <w:rFonts w:ascii="Arial" w:hAnsi="Arial" w:cs="Arial"/>
          <w:lang w:val="en-ZA" w:eastAsia="en-ZA"/>
        </w:rPr>
        <w:t>, coordinated by the Authority,</w:t>
      </w:r>
      <w:r w:rsidR="000E535F" w:rsidRPr="00AA68D6">
        <w:rPr>
          <w:rFonts w:ascii="Arial" w:hAnsi="Arial" w:cs="Arial"/>
          <w:lang w:val="en-ZA" w:eastAsia="en-ZA"/>
        </w:rPr>
        <w:t xml:space="preserve"> comprising of representatives from members of the NAB,</w:t>
      </w:r>
      <w:r w:rsidRPr="00AA68D6">
        <w:rPr>
          <w:rFonts w:ascii="Arial" w:hAnsi="Arial" w:cs="Arial"/>
          <w:lang w:val="en-ZA" w:eastAsia="en-ZA"/>
        </w:rPr>
        <w:t xml:space="preserve"> white space device owners, and other affected parti</w:t>
      </w:r>
      <w:r w:rsidR="00D74B17" w:rsidRPr="00AA68D6">
        <w:rPr>
          <w:rFonts w:ascii="Arial" w:hAnsi="Arial" w:cs="Arial"/>
          <w:lang w:val="en-ZA" w:eastAsia="en-ZA"/>
        </w:rPr>
        <w:t xml:space="preserve">es, </w:t>
      </w:r>
      <w:r w:rsidRPr="00AA68D6">
        <w:rPr>
          <w:rFonts w:ascii="Arial" w:hAnsi="Arial" w:cs="Arial"/>
          <w:lang w:val="en-ZA" w:eastAsia="en-ZA"/>
        </w:rPr>
        <w:t xml:space="preserve">be </w:t>
      </w:r>
      <w:r w:rsidR="00D74B17" w:rsidRPr="00AA68D6">
        <w:rPr>
          <w:rFonts w:ascii="Arial" w:hAnsi="Arial" w:cs="Arial"/>
          <w:lang w:val="en-ZA" w:eastAsia="en-ZA"/>
        </w:rPr>
        <w:t>formulated</w:t>
      </w:r>
      <w:r w:rsidR="00123F22">
        <w:rPr>
          <w:rFonts w:ascii="Arial" w:hAnsi="Arial" w:cs="Arial"/>
          <w:lang w:val="en-ZA" w:eastAsia="en-ZA"/>
        </w:rPr>
        <w:t xml:space="preserve">. This </w:t>
      </w:r>
      <w:r w:rsidR="00364A65" w:rsidRPr="00AA68D6">
        <w:rPr>
          <w:rFonts w:ascii="Arial" w:hAnsi="Arial" w:cs="Arial"/>
          <w:lang w:val="en-ZA" w:eastAsia="en-ZA"/>
        </w:rPr>
        <w:t>task tea</w:t>
      </w:r>
      <w:r w:rsidR="00D74B17" w:rsidRPr="00AA68D6">
        <w:rPr>
          <w:rFonts w:ascii="Arial" w:hAnsi="Arial" w:cs="Arial"/>
          <w:lang w:val="en-ZA" w:eastAsia="en-ZA"/>
        </w:rPr>
        <w:t xml:space="preserve">m will among others be </w:t>
      </w:r>
      <w:r w:rsidRPr="00AA68D6">
        <w:rPr>
          <w:rFonts w:ascii="Arial" w:hAnsi="Arial" w:cs="Arial"/>
          <w:lang w:val="en-ZA" w:eastAsia="en-ZA"/>
        </w:rPr>
        <w:t>responsible to monitor and instruct the switching off of any device that interferes with primary services.</w:t>
      </w:r>
    </w:p>
    <w:p w:rsidR="00364A65" w:rsidRPr="00AA68D6" w:rsidRDefault="00364A65" w:rsidP="00AA68D6">
      <w:pPr>
        <w:pStyle w:val="ListParagraph"/>
        <w:spacing w:line="360" w:lineRule="auto"/>
        <w:jc w:val="both"/>
        <w:rPr>
          <w:rFonts w:ascii="Arial" w:hAnsi="Arial" w:cs="Arial"/>
          <w:lang w:val="en-ZA" w:eastAsia="en-ZA"/>
        </w:rPr>
      </w:pPr>
    </w:p>
    <w:p w:rsidR="00364A65" w:rsidRPr="00AA68D6" w:rsidRDefault="00364A65" w:rsidP="00AA68D6">
      <w:pPr>
        <w:pStyle w:val="ListParagraph"/>
        <w:numPr>
          <w:ilvl w:val="2"/>
          <w:numId w:val="1"/>
        </w:numPr>
        <w:spacing w:line="360" w:lineRule="auto"/>
        <w:ind w:left="1560" w:hanging="851"/>
        <w:jc w:val="both"/>
        <w:rPr>
          <w:rFonts w:ascii="Arial" w:hAnsi="Arial" w:cs="Arial"/>
          <w:lang w:val="en-ZA" w:eastAsia="en-ZA"/>
        </w:rPr>
      </w:pPr>
      <w:r w:rsidRPr="00AA68D6">
        <w:rPr>
          <w:rFonts w:ascii="Arial" w:hAnsi="Arial" w:cs="Arial"/>
          <w:lang w:val="en-ZA" w:eastAsia="en-ZA"/>
        </w:rPr>
        <w:t xml:space="preserve">The NAB further proposes that the </w:t>
      </w:r>
      <w:r w:rsidR="00F81440" w:rsidRPr="00AA68D6">
        <w:rPr>
          <w:rFonts w:ascii="Arial" w:hAnsi="Arial" w:cs="Arial"/>
          <w:lang w:val="en-ZA" w:eastAsia="en-ZA"/>
        </w:rPr>
        <w:t>interference</w:t>
      </w:r>
      <w:r w:rsidRPr="00AA68D6">
        <w:rPr>
          <w:rFonts w:ascii="Arial" w:hAnsi="Arial" w:cs="Arial"/>
          <w:lang w:val="en-ZA" w:eastAsia="en-ZA"/>
        </w:rPr>
        <w:t xml:space="preserve"> </w:t>
      </w:r>
      <w:r w:rsidR="00F81440" w:rsidRPr="00AA68D6">
        <w:rPr>
          <w:rFonts w:ascii="Arial" w:hAnsi="Arial" w:cs="Arial"/>
          <w:lang w:val="en-ZA" w:eastAsia="en-ZA"/>
        </w:rPr>
        <w:t>monitoring</w:t>
      </w:r>
      <w:r w:rsidRPr="00AA68D6">
        <w:rPr>
          <w:rFonts w:ascii="Arial" w:hAnsi="Arial" w:cs="Arial"/>
          <w:lang w:val="en-ZA" w:eastAsia="en-ZA"/>
        </w:rPr>
        <w:t xml:space="preserve"> criteria</w:t>
      </w:r>
      <w:r w:rsidR="00F81440" w:rsidRPr="00AA68D6">
        <w:rPr>
          <w:rFonts w:ascii="Arial" w:hAnsi="Arial" w:cs="Arial"/>
          <w:lang w:val="en-ZA" w:eastAsia="en-ZA"/>
        </w:rPr>
        <w:t>, to be developed by the said task team be</w:t>
      </w:r>
      <w:r w:rsidRPr="00AA68D6">
        <w:rPr>
          <w:rFonts w:ascii="Arial" w:hAnsi="Arial" w:cs="Arial"/>
          <w:lang w:val="en-ZA" w:eastAsia="en-ZA"/>
        </w:rPr>
        <w:t xml:space="preserve"> </w:t>
      </w:r>
      <w:r w:rsidR="00F81440" w:rsidRPr="00AA68D6">
        <w:rPr>
          <w:rFonts w:ascii="Arial" w:hAnsi="Arial" w:cs="Arial"/>
          <w:lang w:val="en-ZA" w:eastAsia="en-ZA"/>
        </w:rPr>
        <w:t xml:space="preserve">published for public comment before it is implemented. </w:t>
      </w:r>
    </w:p>
    <w:p w:rsidR="00F81440" w:rsidRPr="00212139" w:rsidRDefault="00F81440" w:rsidP="00AA68D6">
      <w:pPr>
        <w:pStyle w:val="ListParagraph"/>
        <w:spacing w:line="360" w:lineRule="auto"/>
        <w:jc w:val="both"/>
        <w:rPr>
          <w:rFonts w:ascii="Arial" w:hAnsi="Arial" w:cs="Arial"/>
          <w:b/>
          <w:lang w:val="en-ZA" w:eastAsia="en-ZA"/>
        </w:rPr>
      </w:pPr>
    </w:p>
    <w:p w:rsidR="00F81440" w:rsidRDefault="00F81440" w:rsidP="00212139">
      <w:pPr>
        <w:pStyle w:val="Heading2"/>
        <w:numPr>
          <w:ilvl w:val="1"/>
          <w:numId w:val="1"/>
        </w:numPr>
        <w:spacing w:line="360" w:lineRule="auto"/>
        <w:ind w:left="709" w:hanging="709"/>
        <w:jc w:val="both"/>
        <w:rPr>
          <w:rFonts w:ascii="Arial" w:hAnsi="Arial" w:cs="Arial"/>
          <w:b/>
          <w:color w:val="auto"/>
          <w:sz w:val="22"/>
          <w:szCs w:val="22"/>
          <w:lang w:val="en-ZA" w:eastAsia="en-ZA"/>
        </w:rPr>
      </w:pPr>
      <w:bookmarkStart w:id="6" w:name="_Toc482112061"/>
      <w:r w:rsidRPr="00212139">
        <w:rPr>
          <w:rFonts w:ascii="Arial" w:hAnsi="Arial" w:cs="Arial"/>
          <w:b/>
          <w:color w:val="auto"/>
          <w:sz w:val="22"/>
          <w:szCs w:val="22"/>
          <w:lang w:val="en-ZA" w:eastAsia="en-ZA"/>
        </w:rPr>
        <w:t xml:space="preserve">The </w:t>
      </w:r>
      <w:bookmarkStart w:id="7" w:name="_Hlk482109289"/>
      <w:r w:rsidRPr="00212139">
        <w:rPr>
          <w:rFonts w:ascii="Arial" w:hAnsi="Arial" w:cs="Arial"/>
          <w:b/>
          <w:color w:val="auto"/>
          <w:sz w:val="22"/>
          <w:szCs w:val="22"/>
          <w:lang w:val="en-ZA" w:eastAsia="en-ZA"/>
        </w:rPr>
        <w:t>geo-location spectrum database</w:t>
      </w:r>
      <w:bookmarkEnd w:id="6"/>
    </w:p>
    <w:p w:rsidR="00212139" w:rsidRPr="00212139" w:rsidRDefault="00212139" w:rsidP="00212139">
      <w:pPr>
        <w:rPr>
          <w:lang w:val="en-ZA" w:eastAsia="en-ZA"/>
        </w:rPr>
      </w:pPr>
    </w:p>
    <w:bookmarkEnd w:id="7"/>
    <w:p w:rsidR="00F81440" w:rsidRPr="00AA68D6" w:rsidRDefault="0005166F" w:rsidP="00212139">
      <w:pPr>
        <w:pStyle w:val="ListParagraph"/>
        <w:numPr>
          <w:ilvl w:val="2"/>
          <w:numId w:val="1"/>
        </w:numPr>
        <w:spacing w:after="0" w:line="360" w:lineRule="auto"/>
        <w:ind w:left="1560" w:hanging="851"/>
        <w:jc w:val="both"/>
        <w:rPr>
          <w:rFonts w:ascii="Arial" w:eastAsia="Calibri" w:hAnsi="Arial" w:cs="Arial"/>
        </w:rPr>
      </w:pPr>
      <w:r w:rsidRPr="00212139">
        <w:rPr>
          <w:rFonts w:ascii="Arial" w:hAnsi="Arial" w:cs="Arial"/>
          <w:lang w:val="en-ZA" w:eastAsia="en-ZA"/>
        </w:rPr>
        <w:t>A</w:t>
      </w:r>
      <w:r w:rsidR="00F81440" w:rsidRPr="00212139">
        <w:rPr>
          <w:rFonts w:ascii="Arial" w:hAnsi="Arial" w:cs="Arial"/>
          <w:lang w:val="en-ZA" w:eastAsia="en-ZA"/>
        </w:rPr>
        <w:t xml:space="preserve">s according to the draft Regulations and the </w:t>
      </w:r>
      <w:r w:rsidR="00F81440" w:rsidRPr="00AA68D6">
        <w:rPr>
          <w:rFonts w:ascii="Arial" w:hAnsi="Arial" w:cs="Arial"/>
          <w:lang w:val="en-ZA" w:eastAsia="en-ZA"/>
        </w:rPr>
        <w:t>Position Paper, the</w:t>
      </w:r>
      <w:r w:rsidRPr="00AA68D6">
        <w:rPr>
          <w:rFonts w:ascii="Arial" w:hAnsi="Arial" w:cs="Arial"/>
          <w:lang w:val="en-ZA" w:eastAsia="en-ZA"/>
        </w:rPr>
        <w:t xml:space="preserve"> geo-location spectrum database (GLSD),</w:t>
      </w:r>
      <w:r w:rsidRPr="00AA68D6">
        <w:rPr>
          <w:rFonts w:ascii="Arial" w:eastAsia="Calibri" w:hAnsi="Arial" w:cs="Arial"/>
        </w:rPr>
        <w:t xml:space="preserve"> </w:t>
      </w:r>
      <w:r w:rsidR="00F81440" w:rsidRPr="00AA68D6">
        <w:rPr>
          <w:rFonts w:ascii="Arial" w:eastAsia="Calibri" w:hAnsi="Arial" w:cs="Arial"/>
        </w:rPr>
        <w:t>is the key element that will ensure avoidance of harmful interference to primary services in the band under consideration.</w:t>
      </w:r>
      <w:r w:rsidRPr="00AA68D6">
        <w:rPr>
          <w:rFonts w:ascii="Arial" w:hAnsi="Arial" w:cs="Arial"/>
          <w:lang w:val="en-ZA" w:eastAsia="en-ZA"/>
        </w:rPr>
        <w:t xml:space="preserve"> The NAB therefore advocates for a reliable and transparent </w:t>
      </w:r>
      <w:r w:rsidRPr="00AA68D6">
        <w:rPr>
          <w:rFonts w:ascii="Arial" w:eastAsia="Calibri" w:hAnsi="Arial" w:cs="Arial"/>
        </w:rPr>
        <w:t>GLSD</w:t>
      </w:r>
      <w:r w:rsidRPr="00AA68D6">
        <w:rPr>
          <w:rFonts w:ascii="Arial" w:hAnsi="Arial" w:cs="Arial"/>
          <w:lang w:val="en-ZA" w:eastAsia="en-ZA"/>
        </w:rPr>
        <w:t xml:space="preserve"> and </w:t>
      </w:r>
      <w:r w:rsidRPr="00AA68D6">
        <w:rPr>
          <w:rFonts w:ascii="Arial" w:eastAsia="Calibri" w:hAnsi="Arial" w:cs="Arial"/>
        </w:rPr>
        <w:t>proposes</w:t>
      </w:r>
      <w:r w:rsidR="00F81440" w:rsidRPr="00AA68D6">
        <w:rPr>
          <w:rFonts w:ascii="Arial" w:eastAsia="Calibri" w:hAnsi="Arial" w:cs="Arial"/>
        </w:rPr>
        <w:t xml:space="preserve"> that prior to proceeding with the GLSD, the following must be met:</w:t>
      </w:r>
    </w:p>
    <w:p w:rsidR="0005166F" w:rsidRPr="00AA68D6" w:rsidRDefault="0005166F" w:rsidP="00AA68D6">
      <w:pPr>
        <w:pStyle w:val="ListParagraph"/>
        <w:spacing w:after="0" w:line="360" w:lineRule="auto"/>
        <w:ind w:left="1560"/>
        <w:jc w:val="both"/>
        <w:rPr>
          <w:rFonts w:ascii="Arial" w:eastAsia="Calibri" w:hAnsi="Arial" w:cs="Arial"/>
        </w:rPr>
      </w:pPr>
    </w:p>
    <w:p w:rsidR="00F81440" w:rsidRPr="00AA68D6" w:rsidRDefault="00F81440" w:rsidP="00AA68D6">
      <w:pPr>
        <w:pStyle w:val="ListParagraph"/>
        <w:numPr>
          <w:ilvl w:val="3"/>
          <w:numId w:val="1"/>
        </w:numPr>
        <w:spacing w:after="0" w:line="360" w:lineRule="auto"/>
        <w:ind w:left="2268" w:hanging="1188"/>
        <w:jc w:val="both"/>
        <w:rPr>
          <w:rFonts w:ascii="Arial" w:eastAsia="Calibri" w:hAnsi="Arial" w:cs="Arial"/>
        </w:rPr>
      </w:pPr>
      <w:r w:rsidRPr="00AA68D6">
        <w:rPr>
          <w:rFonts w:ascii="Arial" w:eastAsia="Calibri" w:hAnsi="Arial" w:cs="Arial"/>
        </w:rPr>
        <w:t xml:space="preserve">the database </w:t>
      </w:r>
      <w:r w:rsidR="0005166F" w:rsidRPr="00AA68D6">
        <w:rPr>
          <w:rFonts w:ascii="Arial" w:eastAsia="Calibri" w:hAnsi="Arial" w:cs="Arial"/>
        </w:rPr>
        <w:t>must be</w:t>
      </w:r>
      <w:r w:rsidRPr="00AA68D6">
        <w:rPr>
          <w:rFonts w:ascii="Arial" w:eastAsia="Calibri" w:hAnsi="Arial" w:cs="Arial"/>
        </w:rPr>
        <w:t xml:space="preserve"> published for public comments before being finalised</w:t>
      </w:r>
      <w:r w:rsidR="0005166F" w:rsidRPr="00AA68D6">
        <w:rPr>
          <w:rFonts w:ascii="Arial" w:eastAsia="Calibri" w:hAnsi="Arial" w:cs="Arial"/>
        </w:rPr>
        <w:t>;</w:t>
      </w:r>
    </w:p>
    <w:p w:rsidR="0005166F" w:rsidRPr="00AA68D6" w:rsidRDefault="0005166F" w:rsidP="00AA68D6">
      <w:pPr>
        <w:pStyle w:val="ListParagraph"/>
        <w:spacing w:after="0" w:line="360" w:lineRule="auto"/>
        <w:ind w:left="1728"/>
        <w:jc w:val="both"/>
        <w:rPr>
          <w:rFonts w:ascii="Arial" w:eastAsia="Calibri" w:hAnsi="Arial" w:cs="Arial"/>
        </w:rPr>
      </w:pPr>
    </w:p>
    <w:p w:rsidR="00F81440" w:rsidRPr="00AA68D6" w:rsidRDefault="00F81440" w:rsidP="00AA68D6">
      <w:pPr>
        <w:pStyle w:val="ListParagraph"/>
        <w:numPr>
          <w:ilvl w:val="3"/>
          <w:numId w:val="1"/>
        </w:numPr>
        <w:spacing w:after="0" w:line="360" w:lineRule="auto"/>
        <w:ind w:left="2268" w:hanging="1134"/>
        <w:jc w:val="both"/>
        <w:rPr>
          <w:rFonts w:ascii="Arial" w:eastAsia="Calibri" w:hAnsi="Arial" w:cs="Arial"/>
        </w:rPr>
      </w:pPr>
      <w:r w:rsidRPr="00AA68D6">
        <w:rPr>
          <w:rFonts w:ascii="Arial" w:eastAsia="Calibri" w:hAnsi="Arial" w:cs="Arial"/>
        </w:rPr>
        <w:lastRenderedPageBreak/>
        <w:t>the frequencies for SAB/</w:t>
      </w:r>
      <w:r w:rsidR="006375E5">
        <w:rPr>
          <w:rFonts w:ascii="Arial" w:eastAsia="Calibri" w:hAnsi="Arial" w:cs="Arial"/>
        </w:rPr>
        <w:t>SAP should</w:t>
      </w:r>
      <w:r w:rsidRPr="00AA68D6">
        <w:rPr>
          <w:rFonts w:ascii="Arial" w:eastAsia="Calibri" w:hAnsi="Arial" w:cs="Arial"/>
        </w:rPr>
        <w:t xml:space="preserve"> be included in the database in order for the services to be protected. </w:t>
      </w:r>
    </w:p>
    <w:p w:rsidR="0005166F" w:rsidRPr="00AA68D6" w:rsidRDefault="0005166F" w:rsidP="00AA68D6">
      <w:pPr>
        <w:pStyle w:val="ListParagraph"/>
        <w:spacing w:line="360" w:lineRule="auto"/>
        <w:jc w:val="both"/>
        <w:rPr>
          <w:rFonts w:ascii="Arial" w:eastAsia="Calibri" w:hAnsi="Arial" w:cs="Arial"/>
        </w:rPr>
      </w:pPr>
    </w:p>
    <w:p w:rsidR="00F81440" w:rsidRPr="00AA68D6" w:rsidRDefault="00F81440" w:rsidP="00AA68D6">
      <w:pPr>
        <w:pStyle w:val="ListParagraph"/>
        <w:numPr>
          <w:ilvl w:val="3"/>
          <w:numId w:val="1"/>
        </w:numPr>
        <w:spacing w:after="0" w:line="360" w:lineRule="auto"/>
        <w:ind w:left="2268" w:hanging="1134"/>
        <w:jc w:val="both"/>
        <w:rPr>
          <w:rFonts w:ascii="Arial" w:eastAsia="Calibri" w:hAnsi="Arial" w:cs="Arial"/>
        </w:rPr>
      </w:pPr>
      <w:r w:rsidRPr="00AA68D6">
        <w:rPr>
          <w:rFonts w:ascii="Arial" w:eastAsia="Calibri" w:hAnsi="Arial" w:cs="Arial"/>
        </w:rPr>
        <w:t>Online and real time access to the GLSD will also be important in order to ensure that any necessary updates to the database such as the implementation of a DTT gap filler station for example can be done without delays.</w:t>
      </w:r>
    </w:p>
    <w:p w:rsidR="0005166F" w:rsidRPr="00AA68D6" w:rsidRDefault="0005166F" w:rsidP="00AA68D6">
      <w:pPr>
        <w:pStyle w:val="ListParagraph"/>
        <w:spacing w:after="0" w:line="360" w:lineRule="auto"/>
        <w:ind w:left="1728"/>
        <w:jc w:val="both"/>
        <w:rPr>
          <w:rFonts w:ascii="Arial" w:eastAsia="Calibri" w:hAnsi="Arial" w:cs="Arial"/>
        </w:rPr>
      </w:pPr>
    </w:p>
    <w:p w:rsidR="00F81440" w:rsidRPr="00AA68D6" w:rsidRDefault="00F81440" w:rsidP="00AA68D6">
      <w:pPr>
        <w:pStyle w:val="ListParagraph"/>
        <w:numPr>
          <w:ilvl w:val="3"/>
          <w:numId w:val="1"/>
        </w:numPr>
        <w:spacing w:line="360" w:lineRule="auto"/>
        <w:ind w:left="2268" w:hanging="1134"/>
        <w:jc w:val="both"/>
        <w:rPr>
          <w:rFonts w:ascii="Arial" w:hAnsi="Arial" w:cs="Arial"/>
          <w:lang w:val="en-ZA" w:eastAsia="en-ZA"/>
        </w:rPr>
      </w:pPr>
      <w:r w:rsidRPr="00AA68D6">
        <w:rPr>
          <w:rFonts w:ascii="Arial" w:eastAsia="Calibri" w:hAnsi="Arial" w:cs="Arial"/>
        </w:rPr>
        <w:t xml:space="preserve">The agreed </w:t>
      </w:r>
      <w:r w:rsidR="0005166F" w:rsidRPr="00AA68D6">
        <w:rPr>
          <w:rFonts w:ascii="Arial" w:eastAsia="Calibri" w:hAnsi="Arial" w:cs="Arial"/>
        </w:rPr>
        <w:t xml:space="preserve">DTT frequencies along the boarders </w:t>
      </w:r>
      <w:r w:rsidRPr="00AA68D6">
        <w:rPr>
          <w:rFonts w:ascii="Arial" w:eastAsia="Calibri" w:hAnsi="Arial" w:cs="Arial"/>
        </w:rPr>
        <w:t>need</w:t>
      </w:r>
      <w:r w:rsidR="0005166F" w:rsidRPr="00AA68D6">
        <w:rPr>
          <w:rFonts w:ascii="Arial" w:eastAsia="Calibri" w:hAnsi="Arial" w:cs="Arial"/>
        </w:rPr>
        <w:t xml:space="preserve"> to be included</w:t>
      </w:r>
      <w:r w:rsidRPr="00AA68D6">
        <w:rPr>
          <w:rFonts w:ascii="Arial" w:eastAsia="Calibri" w:hAnsi="Arial" w:cs="Arial"/>
        </w:rPr>
        <w:t xml:space="preserve"> in the GLSD in order to avoid harmful interfe</w:t>
      </w:r>
      <w:r w:rsidR="0005166F" w:rsidRPr="00AA68D6">
        <w:rPr>
          <w:rFonts w:ascii="Arial" w:eastAsia="Calibri" w:hAnsi="Arial" w:cs="Arial"/>
        </w:rPr>
        <w:t>rence with our neighbouring countries</w:t>
      </w:r>
      <w:r w:rsidRPr="00AA68D6">
        <w:rPr>
          <w:rFonts w:ascii="Arial" w:eastAsia="Calibri" w:hAnsi="Arial" w:cs="Arial"/>
        </w:rPr>
        <w:t xml:space="preserve">. </w:t>
      </w:r>
      <w:r w:rsidR="0005166F" w:rsidRPr="00AA68D6">
        <w:rPr>
          <w:rFonts w:ascii="Arial" w:eastAsia="Calibri" w:hAnsi="Arial" w:cs="Arial"/>
        </w:rPr>
        <w:t xml:space="preserve">The </w:t>
      </w:r>
      <w:r w:rsidRPr="00AA68D6">
        <w:rPr>
          <w:rFonts w:ascii="Arial" w:eastAsia="Calibri" w:hAnsi="Arial" w:cs="Arial"/>
        </w:rPr>
        <w:t>DTT frequencies and SAB/SAP frequencies</w:t>
      </w:r>
      <w:r w:rsidR="0005166F" w:rsidRPr="00AA68D6">
        <w:rPr>
          <w:rFonts w:ascii="Arial" w:eastAsia="Calibri" w:hAnsi="Arial" w:cs="Arial"/>
        </w:rPr>
        <w:t xml:space="preserve"> must also be </w:t>
      </w:r>
      <w:r w:rsidRPr="00AA68D6">
        <w:rPr>
          <w:rFonts w:ascii="Arial" w:eastAsia="Calibri" w:hAnsi="Arial" w:cs="Arial"/>
        </w:rPr>
        <w:t>included in the nei</w:t>
      </w:r>
      <w:r w:rsidR="0005166F" w:rsidRPr="00AA68D6">
        <w:rPr>
          <w:rFonts w:ascii="Arial" w:eastAsia="Calibri" w:hAnsi="Arial" w:cs="Arial"/>
        </w:rPr>
        <w:t>ghbouring countries’</w:t>
      </w:r>
      <w:r w:rsidR="00212139">
        <w:rPr>
          <w:rFonts w:ascii="Arial" w:eastAsia="Calibri" w:hAnsi="Arial" w:cs="Arial"/>
        </w:rPr>
        <w:t xml:space="preserve"> </w:t>
      </w:r>
      <w:r w:rsidRPr="00AA68D6">
        <w:rPr>
          <w:rFonts w:ascii="Arial" w:eastAsia="Calibri" w:hAnsi="Arial" w:cs="Arial"/>
        </w:rPr>
        <w:t>GLSD</w:t>
      </w:r>
      <w:r w:rsidR="0005166F" w:rsidRPr="00AA68D6">
        <w:rPr>
          <w:rFonts w:ascii="Arial" w:eastAsia="Calibri" w:hAnsi="Arial" w:cs="Arial"/>
        </w:rPr>
        <w:t>.</w:t>
      </w:r>
      <w:r w:rsidR="0005166F" w:rsidRPr="00AA68D6">
        <w:rPr>
          <w:rStyle w:val="FootnoteReference"/>
          <w:rFonts w:ascii="Arial" w:eastAsia="Calibri" w:hAnsi="Arial" w:cs="Arial"/>
        </w:rPr>
        <w:footnoteReference w:id="6"/>
      </w:r>
    </w:p>
    <w:p w:rsidR="008F72AF" w:rsidRPr="00AA68D6" w:rsidRDefault="008F72AF" w:rsidP="00AA68D6">
      <w:pPr>
        <w:pStyle w:val="ListParagraph"/>
        <w:spacing w:line="360" w:lineRule="auto"/>
        <w:ind w:left="792"/>
        <w:jc w:val="both"/>
        <w:rPr>
          <w:rFonts w:ascii="Arial" w:hAnsi="Arial" w:cs="Arial"/>
          <w:b/>
          <w:lang w:val="en-ZA" w:eastAsia="en-ZA"/>
        </w:rPr>
      </w:pPr>
    </w:p>
    <w:p w:rsidR="00720E73" w:rsidRDefault="00B42701" w:rsidP="00212139">
      <w:pPr>
        <w:pStyle w:val="Heading2"/>
        <w:numPr>
          <w:ilvl w:val="1"/>
          <w:numId w:val="1"/>
        </w:numPr>
        <w:spacing w:line="360" w:lineRule="auto"/>
        <w:ind w:hanging="792"/>
        <w:rPr>
          <w:rFonts w:ascii="Arial" w:hAnsi="Arial" w:cs="Arial"/>
          <w:b/>
          <w:color w:val="auto"/>
          <w:sz w:val="22"/>
          <w:szCs w:val="22"/>
          <w:lang w:val="en-ZA" w:eastAsia="en-ZA"/>
        </w:rPr>
      </w:pPr>
      <w:bookmarkStart w:id="8" w:name="_Toc482112062"/>
      <w:r w:rsidRPr="00212139">
        <w:rPr>
          <w:rFonts w:ascii="Arial" w:hAnsi="Arial" w:cs="Arial"/>
          <w:b/>
          <w:color w:val="auto"/>
          <w:sz w:val="22"/>
          <w:szCs w:val="22"/>
          <w:lang w:val="en-ZA" w:eastAsia="en-ZA"/>
        </w:rPr>
        <w:t>The geo-location spectrum database</w:t>
      </w:r>
      <w:r w:rsidR="007A6815" w:rsidRPr="00212139">
        <w:rPr>
          <w:rFonts w:ascii="Arial" w:hAnsi="Arial" w:cs="Arial"/>
          <w:b/>
          <w:color w:val="auto"/>
          <w:sz w:val="22"/>
          <w:szCs w:val="22"/>
          <w:lang w:val="en-ZA" w:eastAsia="en-ZA"/>
        </w:rPr>
        <w:t xml:space="preserve"> operator</w:t>
      </w:r>
      <w:bookmarkEnd w:id="8"/>
    </w:p>
    <w:p w:rsidR="00212139" w:rsidRPr="00212139" w:rsidRDefault="00212139" w:rsidP="00212139">
      <w:pPr>
        <w:rPr>
          <w:lang w:val="en-ZA" w:eastAsia="en-ZA"/>
        </w:rPr>
      </w:pPr>
    </w:p>
    <w:p w:rsidR="00B42701" w:rsidRPr="00AA68D6" w:rsidRDefault="00185BA9" w:rsidP="00AA68D6">
      <w:pPr>
        <w:pStyle w:val="ListParagraph"/>
        <w:numPr>
          <w:ilvl w:val="2"/>
          <w:numId w:val="1"/>
        </w:numPr>
        <w:spacing w:line="360" w:lineRule="auto"/>
        <w:ind w:left="1560" w:hanging="709"/>
        <w:jc w:val="both"/>
        <w:rPr>
          <w:rFonts w:ascii="Arial" w:hAnsi="Arial" w:cs="Arial"/>
          <w:lang w:val="en-ZA" w:eastAsia="en-ZA"/>
        </w:rPr>
      </w:pPr>
      <w:r w:rsidRPr="00AA68D6">
        <w:rPr>
          <w:rFonts w:ascii="Arial" w:hAnsi="Arial" w:cs="Arial"/>
          <w:lang w:val="en-ZA" w:eastAsia="en-ZA"/>
        </w:rPr>
        <w:t>From the NAB</w:t>
      </w:r>
      <w:r w:rsidR="006375E5">
        <w:rPr>
          <w:rFonts w:ascii="Arial" w:hAnsi="Arial" w:cs="Arial"/>
          <w:lang w:val="en-ZA" w:eastAsia="en-ZA"/>
        </w:rPr>
        <w:t xml:space="preserve">’s </w:t>
      </w:r>
      <w:r w:rsidR="007A6815" w:rsidRPr="00AA68D6">
        <w:rPr>
          <w:rFonts w:ascii="Arial" w:hAnsi="Arial" w:cs="Arial"/>
          <w:lang w:val="en-ZA" w:eastAsia="en-ZA"/>
        </w:rPr>
        <w:t xml:space="preserve">point of view </w:t>
      </w:r>
      <w:r w:rsidR="00C412D0" w:rsidRPr="00AA68D6">
        <w:rPr>
          <w:rFonts w:ascii="Arial" w:hAnsi="Arial" w:cs="Arial"/>
          <w:lang w:val="en-ZA" w:eastAsia="en-ZA"/>
        </w:rPr>
        <w:t xml:space="preserve">the Authority would need to develop the </w:t>
      </w:r>
      <w:r w:rsidR="007A6815" w:rsidRPr="00AA68D6">
        <w:rPr>
          <w:rFonts w:ascii="Arial" w:hAnsi="Arial" w:cs="Arial"/>
          <w:lang w:val="en-ZA" w:eastAsia="en-ZA"/>
        </w:rPr>
        <w:t xml:space="preserve">qualifying criteria </w:t>
      </w:r>
      <w:r w:rsidR="00C412D0" w:rsidRPr="00AA68D6">
        <w:rPr>
          <w:rFonts w:ascii="Arial" w:hAnsi="Arial" w:cs="Arial"/>
          <w:lang w:val="en-ZA" w:eastAsia="en-ZA"/>
        </w:rPr>
        <w:t>for the licensing/registration/authorisation of</w:t>
      </w:r>
      <w:r w:rsidR="007A6815" w:rsidRPr="00AA68D6">
        <w:rPr>
          <w:rFonts w:ascii="Arial" w:hAnsi="Arial" w:cs="Arial"/>
          <w:lang w:val="en-ZA" w:eastAsia="en-ZA"/>
        </w:rPr>
        <w:t xml:space="preserve"> </w:t>
      </w:r>
      <w:r w:rsidRPr="00AA68D6">
        <w:rPr>
          <w:rFonts w:ascii="Arial" w:hAnsi="Arial" w:cs="Arial"/>
          <w:lang w:val="en-ZA" w:eastAsia="en-ZA"/>
        </w:rPr>
        <w:t xml:space="preserve">geo-location spectrum database </w:t>
      </w:r>
      <w:r w:rsidR="00720E73" w:rsidRPr="00AA68D6">
        <w:rPr>
          <w:rFonts w:ascii="Arial" w:hAnsi="Arial" w:cs="Arial"/>
          <w:lang w:val="en-ZA" w:eastAsia="en-ZA"/>
        </w:rPr>
        <w:t>operator</w:t>
      </w:r>
      <w:r w:rsidR="00C412D0" w:rsidRPr="00AA68D6">
        <w:rPr>
          <w:rFonts w:ascii="Arial" w:hAnsi="Arial" w:cs="Arial"/>
          <w:lang w:val="en-ZA" w:eastAsia="en-ZA"/>
        </w:rPr>
        <w:t>s</w:t>
      </w:r>
      <w:r w:rsidR="00720E73" w:rsidRPr="00AA68D6">
        <w:rPr>
          <w:rFonts w:ascii="Arial" w:hAnsi="Arial" w:cs="Arial"/>
          <w:lang w:val="en-ZA" w:eastAsia="en-ZA"/>
        </w:rPr>
        <w:t xml:space="preserve"> </w:t>
      </w:r>
      <w:r w:rsidR="00C412D0" w:rsidRPr="00AA68D6">
        <w:rPr>
          <w:rFonts w:ascii="Arial" w:hAnsi="Arial" w:cs="Arial"/>
          <w:lang w:val="en-ZA" w:eastAsia="en-ZA"/>
        </w:rPr>
        <w:t>(GLSDO)</w:t>
      </w:r>
      <w:r w:rsidR="007A6815" w:rsidRPr="00AA68D6">
        <w:rPr>
          <w:rFonts w:ascii="Arial" w:hAnsi="Arial" w:cs="Arial"/>
          <w:lang w:val="en-ZA" w:eastAsia="en-ZA"/>
        </w:rPr>
        <w:t>. To this end, the N</w:t>
      </w:r>
      <w:r w:rsidR="006375E5">
        <w:rPr>
          <w:rFonts w:ascii="Arial" w:hAnsi="Arial" w:cs="Arial"/>
          <w:lang w:val="en-ZA" w:eastAsia="en-ZA"/>
        </w:rPr>
        <w:t>AB needs clarity</w:t>
      </w:r>
      <w:r w:rsidR="00720E73" w:rsidRPr="00AA68D6">
        <w:rPr>
          <w:rFonts w:ascii="Arial" w:hAnsi="Arial" w:cs="Arial"/>
          <w:lang w:val="en-ZA" w:eastAsia="en-ZA"/>
        </w:rPr>
        <w:t xml:space="preserve"> on the authorisation criteria for the GLSDO, whether the GLSDO will be licenced or authorised as such, the number of GLSDO to be licenced/</w:t>
      </w:r>
      <w:r w:rsidR="007A6815" w:rsidRPr="00AA68D6">
        <w:rPr>
          <w:rFonts w:ascii="Arial" w:hAnsi="Arial" w:cs="Arial"/>
          <w:lang w:val="en-ZA" w:eastAsia="en-ZA"/>
        </w:rPr>
        <w:t>register</w:t>
      </w:r>
      <w:r w:rsidR="00C412D0" w:rsidRPr="00AA68D6">
        <w:rPr>
          <w:rFonts w:ascii="Arial" w:hAnsi="Arial" w:cs="Arial"/>
          <w:lang w:val="en-ZA" w:eastAsia="en-ZA"/>
        </w:rPr>
        <w:t xml:space="preserve">ed, and the regulatory parameters within which such operators will operate. At </w:t>
      </w:r>
      <w:r w:rsidR="000A1AE8">
        <w:rPr>
          <w:rFonts w:ascii="Arial" w:hAnsi="Arial" w:cs="Arial"/>
          <w:lang w:val="en-ZA" w:eastAsia="en-ZA"/>
        </w:rPr>
        <w:t>t</w:t>
      </w:r>
      <w:r w:rsidR="00C412D0" w:rsidRPr="00AA68D6">
        <w:rPr>
          <w:rFonts w:ascii="Arial" w:hAnsi="Arial" w:cs="Arial"/>
          <w:lang w:val="en-ZA" w:eastAsia="en-ZA"/>
        </w:rPr>
        <w:t xml:space="preserve">his stage, the NAB believes this process is premature and needs to be well thought through before implementation. </w:t>
      </w:r>
      <w:r w:rsidR="007A6815" w:rsidRPr="00AA68D6">
        <w:rPr>
          <w:rFonts w:ascii="Arial" w:hAnsi="Arial" w:cs="Arial"/>
          <w:lang w:val="en-ZA" w:eastAsia="en-ZA"/>
        </w:rPr>
        <w:t xml:space="preserve"> </w:t>
      </w:r>
    </w:p>
    <w:p w:rsidR="00AA6C39" w:rsidRPr="00AA68D6" w:rsidRDefault="00AA6C39" w:rsidP="00AA68D6">
      <w:pPr>
        <w:pStyle w:val="ListParagraph"/>
        <w:spacing w:line="360" w:lineRule="auto"/>
        <w:ind w:left="792"/>
        <w:jc w:val="both"/>
        <w:rPr>
          <w:rFonts w:ascii="Arial" w:hAnsi="Arial" w:cs="Arial"/>
          <w:b/>
          <w:lang w:val="en-ZA" w:eastAsia="en-ZA"/>
        </w:rPr>
      </w:pPr>
    </w:p>
    <w:p w:rsidR="00720E73" w:rsidRDefault="00AA6C39" w:rsidP="00212139">
      <w:pPr>
        <w:pStyle w:val="Heading2"/>
        <w:numPr>
          <w:ilvl w:val="1"/>
          <w:numId w:val="1"/>
        </w:numPr>
        <w:spacing w:line="360" w:lineRule="auto"/>
        <w:ind w:hanging="792"/>
        <w:rPr>
          <w:rFonts w:ascii="Arial" w:hAnsi="Arial" w:cs="Arial"/>
          <w:b/>
          <w:color w:val="auto"/>
          <w:sz w:val="22"/>
          <w:szCs w:val="22"/>
          <w:lang w:val="en-ZA" w:eastAsia="en-ZA"/>
        </w:rPr>
      </w:pPr>
      <w:bookmarkStart w:id="9" w:name="_Toc482112063"/>
      <w:r w:rsidRPr="00212139">
        <w:rPr>
          <w:rFonts w:ascii="Arial" w:hAnsi="Arial" w:cs="Arial"/>
          <w:b/>
          <w:color w:val="auto"/>
          <w:sz w:val="22"/>
          <w:szCs w:val="22"/>
          <w:lang w:val="en-ZA" w:eastAsia="en-ZA"/>
        </w:rPr>
        <w:t xml:space="preserve">Offences, </w:t>
      </w:r>
      <w:r w:rsidR="008F10D1" w:rsidRPr="00212139">
        <w:rPr>
          <w:rFonts w:ascii="Arial" w:hAnsi="Arial" w:cs="Arial"/>
          <w:b/>
          <w:color w:val="auto"/>
          <w:sz w:val="22"/>
          <w:szCs w:val="22"/>
          <w:lang w:val="en-ZA" w:eastAsia="en-ZA"/>
        </w:rPr>
        <w:t>contraventions</w:t>
      </w:r>
      <w:r w:rsidRPr="00212139">
        <w:rPr>
          <w:rFonts w:ascii="Arial" w:hAnsi="Arial" w:cs="Arial"/>
          <w:b/>
          <w:color w:val="auto"/>
          <w:sz w:val="22"/>
          <w:szCs w:val="22"/>
          <w:lang w:val="en-ZA" w:eastAsia="en-ZA"/>
        </w:rPr>
        <w:t xml:space="preserve"> and penalties clause</w:t>
      </w:r>
      <w:bookmarkEnd w:id="9"/>
    </w:p>
    <w:p w:rsidR="00212139" w:rsidRPr="00212139" w:rsidRDefault="00212139" w:rsidP="00212139">
      <w:pPr>
        <w:rPr>
          <w:lang w:val="en-ZA" w:eastAsia="en-ZA"/>
        </w:rPr>
      </w:pPr>
    </w:p>
    <w:p w:rsidR="00E96D41" w:rsidRPr="00AA68D6" w:rsidRDefault="008F10D1" w:rsidP="00212139">
      <w:pPr>
        <w:pStyle w:val="ListParagraph"/>
        <w:numPr>
          <w:ilvl w:val="2"/>
          <w:numId w:val="1"/>
        </w:numPr>
        <w:spacing w:line="360" w:lineRule="auto"/>
        <w:ind w:left="1560" w:hanging="709"/>
        <w:jc w:val="both"/>
        <w:rPr>
          <w:rFonts w:ascii="Arial" w:hAnsi="Arial" w:cs="Arial"/>
          <w:lang w:val="en-ZA" w:eastAsia="en-ZA"/>
        </w:rPr>
      </w:pPr>
      <w:r w:rsidRPr="00212139">
        <w:rPr>
          <w:rFonts w:ascii="Arial" w:hAnsi="Arial" w:cs="Arial"/>
          <w:lang w:val="en-ZA" w:eastAsia="en-ZA"/>
        </w:rPr>
        <w:t xml:space="preserve"> </w:t>
      </w:r>
      <w:r w:rsidR="006375E5">
        <w:rPr>
          <w:rFonts w:ascii="Arial" w:hAnsi="Arial" w:cs="Arial"/>
          <w:lang w:val="en-ZA" w:eastAsia="en-ZA"/>
        </w:rPr>
        <w:t>I</w:t>
      </w:r>
      <w:r w:rsidR="007C102D" w:rsidRPr="00212139">
        <w:rPr>
          <w:rFonts w:ascii="Arial" w:hAnsi="Arial" w:cs="Arial"/>
          <w:lang w:val="en-ZA" w:eastAsia="en-ZA"/>
        </w:rPr>
        <w:t xml:space="preserve">t is not clear why the </w:t>
      </w:r>
      <w:r w:rsidR="002E5812" w:rsidRPr="00212139">
        <w:rPr>
          <w:rFonts w:ascii="Arial" w:hAnsi="Arial" w:cs="Arial"/>
          <w:lang w:val="en-ZA" w:eastAsia="en-ZA"/>
        </w:rPr>
        <w:t>Authority has decided to</w:t>
      </w:r>
      <w:r w:rsidR="007C102D" w:rsidRPr="00212139">
        <w:rPr>
          <w:rFonts w:ascii="Arial" w:hAnsi="Arial" w:cs="Arial"/>
          <w:lang w:val="en-ZA" w:eastAsia="en-ZA"/>
        </w:rPr>
        <w:t xml:space="preserve"> imp</w:t>
      </w:r>
      <w:r w:rsidR="002E5812" w:rsidRPr="00212139">
        <w:rPr>
          <w:rFonts w:ascii="Arial" w:hAnsi="Arial" w:cs="Arial"/>
          <w:lang w:val="en-ZA" w:eastAsia="en-ZA"/>
        </w:rPr>
        <w:t>o</w:t>
      </w:r>
      <w:r w:rsidR="007C102D" w:rsidRPr="00212139">
        <w:rPr>
          <w:rFonts w:ascii="Arial" w:hAnsi="Arial" w:cs="Arial"/>
          <w:lang w:val="en-ZA" w:eastAsia="en-ZA"/>
        </w:rPr>
        <w:t xml:space="preserve">se </w:t>
      </w:r>
      <w:r w:rsidR="002E5812" w:rsidRPr="00212139">
        <w:rPr>
          <w:rFonts w:ascii="Arial" w:hAnsi="Arial" w:cs="Arial"/>
          <w:lang w:val="en-ZA" w:eastAsia="en-ZA"/>
        </w:rPr>
        <w:t>a</w:t>
      </w:r>
      <w:r w:rsidR="007C102D" w:rsidRPr="00212139">
        <w:rPr>
          <w:rFonts w:ascii="Arial" w:hAnsi="Arial" w:cs="Arial"/>
          <w:lang w:val="en-ZA" w:eastAsia="en-ZA"/>
        </w:rPr>
        <w:t xml:space="preserve"> fine not less than R100 000 </w:t>
      </w:r>
      <w:r w:rsidR="002E5812" w:rsidRPr="00212139">
        <w:rPr>
          <w:rFonts w:ascii="Arial" w:hAnsi="Arial" w:cs="Arial"/>
          <w:lang w:val="en-ZA" w:eastAsia="en-ZA"/>
        </w:rPr>
        <w:t>but not</w:t>
      </w:r>
      <w:r w:rsidR="007C102D" w:rsidRPr="00212139">
        <w:rPr>
          <w:rFonts w:ascii="Arial" w:hAnsi="Arial" w:cs="Arial"/>
          <w:lang w:val="en-ZA" w:eastAsia="en-ZA"/>
        </w:rPr>
        <w:t xml:space="preserve"> exceeding R1 000 000 </w:t>
      </w:r>
      <w:r w:rsidR="002E5812" w:rsidRPr="00212139">
        <w:rPr>
          <w:rFonts w:ascii="Arial" w:hAnsi="Arial" w:cs="Arial"/>
          <w:lang w:val="en-ZA" w:eastAsia="en-ZA"/>
        </w:rPr>
        <w:t xml:space="preserve">and </w:t>
      </w:r>
      <w:r w:rsidR="002E5812" w:rsidRPr="00AA68D6">
        <w:rPr>
          <w:rFonts w:ascii="Arial" w:hAnsi="Arial" w:cs="Arial"/>
          <w:lang w:val="en-ZA" w:eastAsia="en-ZA"/>
        </w:rPr>
        <w:t xml:space="preserve">or </w:t>
      </w:r>
      <w:r w:rsidR="00C412D0" w:rsidRPr="00AA68D6">
        <w:rPr>
          <w:rFonts w:ascii="Arial" w:hAnsi="Arial" w:cs="Arial"/>
          <w:lang w:val="en-ZA" w:eastAsia="en-ZA"/>
        </w:rPr>
        <w:t>imprisonment not</w:t>
      </w:r>
      <w:r w:rsidR="002E5812" w:rsidRPr="00AA68D6">
        <w:rPr>
          <w:rFonts w:ascii="Arial" w:hAnsi="Arial" w:cs="Arial"/>
          <w:lang w:val="en-ZA" w:eastAsia="en-ZA"/>
        </w:rPr>
        <w:t xml:space="preserve"> less than a month but not exceeding six months.</w:t>
      </w:r>
      <w:r w:rsidR="002E5812" w:rsidRPr="00AA68D6">
        <w:rPr>
          <w:rStyle w:val="FootnoteReference"/>
          <w:rFonts w:ascii="Arial" w:hAnsi="Arial" w:cs="Arial"/>
          <w:lang w:val="en-ZA" w:eastAsia="en-ZA"/>
        </w:rPr>
        <w:footnoteReference w:id="7"/>
      </w:r>
      <w:r w:rsidR="002E5812" w:rsidRPr="00AA68D6">
        <w:rPr>
          <w:rFonts w:ascii="Arial" w:hAnsi="Arial" w:cs="Arial"/>
          <w:lang w:val="en-ZA" w:eastAsia="en-ZA"/>
        </w:rPr>
        <w:t xml:space="preserve"> </w:t>
      </w:r>
      <w:r w:rsidRPr="00AA68D6">
        <w:rPr>
          <w:rFonts w:ascii="Arial" w:hAnsi="Arial" w:cs="Arial"/>
          <w:lang w:val="en-ZA" w:eastAsia="en-ZA"/>
        </w:rPr>
        <w:t xml:space="preserve"> </w:t>
      </w:r>
      <w:r w:rsidR="002E5812" w:rsidRPr="00AA68D6">
        <w:rPr>
          <w:rFonts w:ascii="Arial" w:hAnsi="Arial" w:cs="Arial"/>
          <w:lang w:val="en-ZA" w:eastAsia="en-ZA"/>
        </w:rPr>
        <w:t xml:space="preserve">The </w:t>
      </w:r>
      <w:r w:rsidR="002422A9" w:rsidRPr="00AA68D6">
        <w:rPr>
          <w:rFonts w:ascii="Arial" w:hAnsi="Arial" w:cs="Arial"/>
          <w:lang w:val="en-ZA" w:eastAsia="en-ZA"/>
        </w:rPr>
        <w:t xml:space="preserve">proposed penalty </w:t>
      </w:r>
      <w:r w:rsidR="002E5812" w:rsidRPr="00AA68D6">
        <w:rPr>
          <w:rFonts w:ascii="Arial" w:hAnsi="Arial" w:cs="Arial"/>
          <w:lang w:val="en-ZA" w:eastAsia="en-ZA"/>
        </w:rPr>
        <w:t xml:space="preserve">is not commensurate </w:t>
      </w:r>
      <w:r w:rsidR="002422A9" w:rsidRPr="00AA68D6">
        <w:rPr>
          <w:rFonts w:ascii="Arial" w:hAnsi="Arial" w:cs="Arial"/>
          <w:lang w:val="en-ZA" w:eastAsia="en-ZA"/>
        </w:rPr>
        <w:t xml:space="preserve">to the contravention envisaged. In terms of section </w:t>
      </w:r>
      <w:r w:rsidR="008E037A" w:rsidRPr="00AA68D6">
        <w:rPr>
          <w:rFonts w:ascii="Arial" w:hAnsi="Arial" w:cs="Arial"/>
          <w:lang w:val="en-ZA" w:eastAsia="en-ZA"/>
        </w:rPr>
        <w:t>17H(3)</w:t>
      </w:r>
      <w:r w:rsidR="000A5623">
        <w:rPr>
          <w:rFonts w:ascii="Arial" w:hAnsi="Arial" w:cs="Arial"/>
          <w:lang w:val="en-ZA" w:eastAsia="en-ZA"/>
        </w:rPr>
        <w:t xml:space="preserve"> of the ICASA Act</w:t>
      </w:r>
      <w:r w:rsidR="002422A9" w:rsidRPr="00AA68D6">
        <w:rPr>
          <w:rFonts w:ascii="Arial" w:hAnsi="Arial" w:cs="Arial"/>
          <w:lang w:val="en-ZA" w:eastAsia="en-ZA"/>
        </w:rPr>
        <w:t xml:space="preserve">, a person who provides </w:t>
      </w:r>
      <w:r w:rsidR="00524F59" w:rsidRPr="00AA68D6">
        <w:rPr>
          <w:rFonts w:ascii="Arial" w:hAnsi="Arial" w:cs="Arial"/>
          <w:lang w:val="en-ZA" w:eastAsia="en-ZA"/>
        </w:rPr>
        <w:t xml:space="preserve">a service without a licence or registering as </w:t>
      </w:r>
      <w:r w:rsidR="00524F59" w:rsidRPr="00AA68D6">
        <w:rPr>
          <w:rFonts w:ascii="Arial" w:hAnsi="Arial" w:cs="Arial"/>
          <w:lang w:val="en-ZA" w:eastAsia="en-ZA"/>
        </w:rPr>
        <w:lastRenderedPageBreak/>
        <w:t xml:space="preserve">required or </w:t>
      </w:r>
      <w:r w:rsidR="008E037A" w:rsidRPr="00AA68D6">
        <w:rPr>
          <w:rFonts w:ascii="Arial" w:hAnsi="Arial" w:cs="Arial"/>
          <w:lang w:val="en-ZA" w:eastAsia="en-ZA"/>
        </w:rPr>
        <w:t>fails</w:t>
      </w:r>
      <w:r w:rsidR="00524F59" w:rsidRPr="00AA68D6">
        <w:rPr>
          <w:rFonts w:ascii="Arial" w:hAnsi="Arial" w:cs="Arial"/>
          <w:lang w:val="en-ZA" w:eastAsia="en-ZA"/>
        </w:rPr>
        <w:t xml:space="preserve"> t</w:t>
      </w:r>
      <w:r w:rsidR="008E037A" w:rsidRPr="00AA68D6">
        <w:rPr>
          <w:rFonts w:ascii="Arial" w:hAnsi="Arial" w:cs="Arial"/>
          <w:lang w:val="en-ZA" w:eastAsia="en-ZA"/>
        </w:rPr>
        <w:t>o</w:t>
      </w:r>
      <w:r w:rsidR="00524F59" w:rsidRPr="00AA68D6">
        <w:rPr>
          <w:rFonts w:ascii="Arial" w:hAnsi="Arial" w:cs="Arial"/>
          <w:lang w:val="en-ZA" w:eastAsia="en-ZA"/>
        </w:rPr>
        <w:t xml:space="preserve"> </w:t>
      </w:r>
      <w:r w:rsidR="008E037A" w:rsidRPr="00AA68D6">
        <w:rPr>
          <w:rFonts w:ascii="Arial" w:hAnsi="Arial" w:cs="Arial"/>
          <w:lang w:val="en-ZA" w:eastAsia="en-ZA"/>
        </w:rPr>
        <w:t xml:space="preserve">  obtain </w:t>
      </w:r>
      <w:r w:rsidR="00524F59" w:rsidRPr="00AA68D6">
        <w:rPr>
          <w:rFonts w:ascii="Arial" w:hAnsi="Arial" w:cs="Arial"/>
          <w:lang w:val="en-ZA" w:eastAsia="en-ZA"/>
        </w:rPr>
        <w:t xml:space="preserve"> prior written permission of the Authority is guilty of an offence</w:t>
      </w:r>
      <w:r w:rsidR="002F4A7A" w:rsidRPr="00AA68D6">
        <w:rPr>
          <w:rFonts w:ascii="Arial" w:hAnsi="Arial" w:cs="Arial"/>
          <w:lang w:val="en-ZA" w:eastAsia="en-ZA"/>
        </w:rPr>
        <w:t>, and liable for a fine not</w:t>
      </w:r>
      <w:r w:rsidR="008E037A" w:rsidRPr="00AA68D6">
        <w:rPr>
          <w:rFonts w:ascii="Arial" w:hAnsi="Arial" w:cs="Arial"/>
          <w:lang w:val="en-ZA" w:eastAsia="en-ZA"/>
        </w:rPr>
        <w:t xml:space="preserve"> exceeding the greater of R5 000 000 or 10% of the </w:t>
      </w:r>
      <w:r w:rsidR="002F4A7A" w:rsidRPr="00AA68D6">
        <w:rPr>
          <w:rFonts w:ascii="Arial" w:hAnsi="Arial" w:cs="Arial"/>
          <w:lang w:val="en-ZA" w:eastAsia="en-ZA"/>
        </w:rPr>
        <w:t>licensees</w:t>
      </w:r>
      <w:r w:rsidR="008E037A" w:rsidRPr="00AA68D6">
        <w:rPr>
          <w:rFonts w:ascii="Arial" w:hAnsi="Arial" w:cs="Arial"/>
          <w:lang w:val="en-ZA" w:eastAsia="en-ZA"/>
        </w:rPr>
        <w:t xml:space="preserve"> turn-over for every day or pa</w:t>
      </w:r>
      <w:r w:rsidR="006375E5">
        <w:rPr>
          <w:rFonts w:ascii="Arial" w:hAnsi="Arial" w:cs="Arial"/>
          <w:lang w:val="en-ZA" w:eastAsia="en-ZA"/>
        </w:rPr>
        <w:t>r</w:t>
      </w:r>
      <w:r w:rsidR="008E037A" w:rsidRPr="00AA68D6">
        <w:rPr>
          <w:rFonts w:ascii="Arial" w:hAnsi="Arial" w:cs="Arial"/>
          <w:lang w:val="en-ZA" w:eastAsia="en-ZA"/>
        </w:rPr>
        <w:t>t thereof du</w:t>
      </w:r>
      <w:r w:rsidR="006375E5">
        <w:rPr>
          <w:rFonts w:ascii="Arial" w:hAnsi="Arial" w:cs="Arial"/>
          <w:lang w:val="en-ZA" w:eastAsia="en-ZA"/>
        </w:rPr>
        <w:t>ring which the offence continues</w:t>
      </w:r>
      <w:r w:rsidR="008E037A" w:rsidRPr="00AA68D6">
        <w:rPr>
          <w:rFonts w:ascii="Arial" w:hAnsi="Arial" w:cs="Arial"/>
          <w:lang w:val="en-ZA" w:eastAsia="en-ZA"/>
        </w:rPr>
        <w:t xml:space="preserve">. The </w:t>
      </w:r>
      <w:r w:rsidR="00AA68D6" w:rsidRPr="00AA68D6">
        <w:rPr>
          <w:rFonts w:ascii="Arial" w:hAnsi="Arial" w:cs="Arial"/>
          <w:lang w:val="en-ZA" w:eastAsia="en-ZA"/>
        </w:rPr>
        <w:t>NAB is</w:t>
      </w:r>
      <w:r w:rsidR="008E037A" w:rsidRPr="00AA68D6">
        <w:rPr>
          <w:rFonts w:ascii="Arial" w:hAnsi="Arial" w:cs="Arial"/>
          <w:lang w:val="en-ZA" w:eastAsia="en-ZA"/>
        </w:rPr>
        <w:t xml:space="preserve"> therefore of the view that “operations in the TVWS without authorisation and in contravention of these regulations”</w:t>
      </w:r>
      <w:r w:rsidR="008E037A" w:rsidRPr="00AA68D6">
        <w:rPr>
          <w:rStyle w:val="FootnoteReference"/>
          <w:rFonts w:ascii="Arial" w:hAnsi="Arial" w:cs="Arial"/>
          <w:lang w:val="en-ZA" w:eastAsia="en-ZA"/>
        </w:rPr>
        <w:footnoteReference w:id="8"/>
      </w:r>
      <w:r w:rsidR="008E037A" w:rsidRPr="00AA68D6">
        <w:rPr>
          <w:rFonts w:ascii="Arial" w:hAnsi="Arial" w:cs="Arial"/>
          <w:lang w:val="en-ZA" w:eastAsia="en-ZA"/>
        </w:rPr>
        <w:t xml:space="preserve"> be penalised as stipulated above. </w:t>
      </w:r>
    </w:p>
    <w:p w:rsidR="008E037A" w:rsidRPr="00AA68D6" w:rsidRDefault="008E037A" w:rsidP="00AA68D6">
      <w:pPr>
        <w:pStyle w:val="ListParagraph"/>
        <w:spacing w:line="360" w:lineRule="auto"/>
        <w:jc w:val="both"/>
        <w:rPr>
          <w:rFonts w:ascii="Arial" w:hAnsi="Arial" w:cs="Arial"/>
          <w:lang w:val="en-ZA" w:eastAsia="en-ZA"/>
        </w:rPr>
      </w:pPr>
    </w:p>
    <w:p w:rsidR="008E037A" w:rsidRPr="00AA68D6" w:rsidRDefault="008E037A" w:rsidP="00AA68D6">
      <w:pPr>
        <w:pStyle w:val="ListParagraph"/>
        <w:numPr>
          <w:ilvl w:val="2"/>
          <w:numId w:val="1"/>
        </w:numPr>
        <w:spacing w:line="360" w:lineRule="auto"/>
        <w:ind w:left="1560" w:hanging="709"/>
        <w:jc w:val="both"/>
        <w:rPr>
          <w:rFonts w:ascii="Arial" w:hAnsi="Arial" w:cs="Arial"/>
          <w:lang w:val="en-ZA" w:eastAsia="en-ZA"/>
        </w:rPr>
      </w:pPr>
      <w:r w:rsidRPr="00AA68D6">
        <w:rPr>
          <w:rFonts w:ascii="Arial" w:hAnsi="Arial" w:cs="Arial"/>
          <w:lang w:val="en-ZA" w:eastAsia="en-ZA"/>
        </w:rPr>
        <w:t xml:space="preserve">The NAB further proposes that an </w:t>
      </w:r>
      <w:r w:rsidR="00720E73" w:rsidRPr="00AA68D6">
        <w:rPr>
          <w:rFonts w:ascii="Arial" w:hAnsi="Arial" w:cs="Arial"/>
          <w:lang w:val="en-ZA" w:eastAsia="en-ZA"/>
        </w:rPr>
        <w:t>additional penalty</w:t>
      </w:r>
      <w:r w:rsidRPr="00AA68D6">
        <w:rPr>
          <w:rFonts w:ascii="Arial" w:hAnsi="Arial" w:cs="Arial"/>
          <w:lang w:val="en-ZA" w:eastAsia="en-ZA"/>
        </w:rPr>
        <w:t xml:space="preserve"> for harmful interference be introduced, to discourage intentional and repeated harmful i</w:t>
      </w:r>
      <w:r w:rsidR="00123F22">
        <w:rPr>
          <w:rFonts w:ascii="Arial" w:hAnsi="Arial" w:cs="Arial"/>
          <w:lang w:val="en-ZA" w:eastAsia="en-ZA"/>
        </w:rPr>
        <w:t>nterference by operators of TVWS</w:t>
      </w:r>
      <w:r w:rsidRPr="00AA68D6">
        <w:rPr>
          <w:rFonts w:ascii="Arial" w:hAnsi="Arial" w:cs="Arial"/>
          <w:lang w:val="en-ZA" w:eastAsia="en-ZA"/>
        </w:rPr>
        <w:t xml:space="preserve">. The applicable fine should be in terms of section 17H3(d) and (e) of the ICASA Act, which prescribes a fine of not exceeding R5 000 000. </w:t>
      </w:r>
    </w:p>
    <w:p w:rsidR="00524F59" w:rsidRPr="00AA68D6" w:rsidRDefault="00524F59" w:rsidP="00212139">
      <w:pPr>
        <w:pStyle w:val="ListParagraph"/>
        <w:spacing w:line="360" w:lineRule="auto"/>
        <w:jc w:val="both"/>
        <w:rPr>
          <w:rFonts w:ascii="Arial" w:hAnsi="Arial" w:cs="Arial"/>
          <w:lang w:val="en-ZA" w:eastAsia="en-ZA"/>
        </w:rPr>
      </w:pPr>
    </w:p>
    <w:p w:rsidR="00720E73" w:rsidRDefault="00E96D41" w:rsidP="00212139">
      <w:pPr>
        <w:pStyle w:val="Heading2"/>
        <w:numPr>
          <w:ilvl w:val="1"/>
          <w:numId w:val="1"/>
        </w:numPr>
        <w:spacing w:line="360" w:lineRule="auto"/>
        <w:ind w:hanging="792"/>
        <w:rPr>
          <w:rFonts w:ascii="Arial" w:hAnsi="Arial" w:cs="Arial"/>
          <w:b/>
          <w:color w:val="auto"/>
          <w:sz w:val="22"/>
          <w:szCs w:val="22"/>
          <w:lang w:val="en-ZA" w:eastAsia="en-ZA"/>
        </w:rPr>
      </w:pPr>
      <w:bookmarkStart w:id="10" w:name="_Toc482112064"/>
      <w:r w:rsidRPr="00212139">
        <w:rPr>
          <w:rFonts w:ascii="Arial" w:hAnsi="Arial" w:cs="Arial"/>
          <w:b/>
          <w:color w:val="auto"/>
          <w:sz w:val="22"/>
          <w:szCs w:val="22"/>
          <w:lang w:val="en-ZA" w:eastAsia="en-ZA"/>
        </w:rPr>
        <w:t xml:space="preserve">Short title and </w:t>
      </w:r>
      <w:r w:rsidR="00505D7B" w:rsidRPr="00212139">
        <w:rPr>
          <w:rFonts w:ascii="Arial" w:hAnsi="Arial" w:cs="Arial"/>
          <w:b/>
          <w:color w:val="auto"/>
          <w:sz w:val="22"/>
          <w:szCs w:val="22"/>
          <w:lang w:val="en-ZA" w:eastAsia="en-ZA"/>
        </w:rPr>
        <w:t>commencement</w:t>
      </w:r>
      <w:bookmarkEnd w:id="10"/>
    </w:p>
    <w:p w:rsidR="00212139" w:rsidRPr="00212139" w:rsidRDefault="00212139" w:rsidP="00212139">
      <w:pPr>
        <w:rPr>
          <w:lang w:val="en-ZA" w:eastAsia="en-ZA"/>
        </w:rPr>
      </w:pPr>
    </w:p>
    <w:p w:rsidR="00B42701" w:rsidRPr="00AA68D6" w:rsidRDefault="006375E5" w:rsidP="00212139">
      <w:pPr>
        <w:pStyle w:val="ListParagraph"/>
        <w:numPr>
          <w:ilvl w:val="2"/>
          <w:numId w:val="1"/>
        </w:numPr>
        <w:spacing w:line="360" w:lineRule="auto"/>
        <w:ind w:left="1560" w:hanging="709"/>
        <w:jc w:val="both"/>
        <w:rPr>
          <w:rFonts w:ascii="Arial" w:hAnsi="Arial" w:cs="Arial"/>
          <w:lang w:val="en-ZA" w:eastAsia="en-ZA"/>
        </w:rPr>
      </w:pPr>
      <w:r>
        <w:rPr>
          <w:rFonts w:ascii="Arial" w:hAnsi="Arial" w:cs="Arial"/>
          <w:lang w:val="en-ZA" w:eastAsia="en-ZA"/>
        </w:rPr>
        <w:t>According to clause</w:t>
      </w:r>
      <w:r w:rsidR="008F10D1" w:rsidRPr="00212139">
        <w:rPr>
          <w:rFonts w:ascii="Arial" w:hAnsi="Arial" w:cs="Arial"/>
          <w:lang w:val="en-ZA" w:eastAsia="en-ZA"/>
        </w:rPr>
        <w:t xml:space="preserve"> 23 of the draft Regulations, the </w:t>
      </w:r>
      <w:r w:rsidR="00C412D0" w:rsidRPr="00212139">
        <w:rPr>
          <w:rFonts w:ascii="Arial" w:hAnsi="Arial" w:cs="Arial"/>
          <w:lang w:val="en-ZA" w:eastAsia="en-ZA"/>
        </w:rPr>
        <w:t>Regulations</w:t>
      </w:r>
      <w:r w:rsidR="008F10D1" w:rsidRPr="00212139">
        <w:rPr>
          <w:rFonts w:ascii="Arial" w:hAnsi="Arial" w:cs="Arial"/>
          <w:lang w:val="en-ZA" w:eastAsia="en-ZA"/>
        </w:rPr>
        <w:t xml:space="preserve"> </w:t>
      </w:r>
      <w:r w:rsidR="00AF18EE" w:rsidRPr="00212139">
        <w:rPr>
          <w:rFonts w:ascii="Arial" w:hAnsi="Arial" w:cs="Arial"/>
          <w:lang w:val="en-ZA" w:eastAsia="en-ZA"/>
        </w:rPr>
        <w:t xml:space="preserve">will </w:t>
      </w:r>
      <w:r w:rsidR="008F10D1" w:rsidRPr="00212139">
        <w:rPr>
          <w:rFonts w:ascii="Arial" w:hAnsi="Arial" w:cs="Arial"/>
          <w:lang w:val="en-ZA" w:eastAsia="en-ZA"/>
        </w:rPr>
        <w:t xml:space="preserve">come </w:t>
      </w:r>
      <w:r w:rsidR="00C412D0" w:rsidRPr="00212139">
        <w:rPr>
          <w:rFonts w:ascii="Arial" w:hAnsi="Arial" w:cs="Arial"/>
          <w:lang w:val="en-ZA" w:eastAsia="en-ZA"/>
        </w:rPr>
        <w:t>into forc</w:t>
      </w:r>
      <w:r w:rsidR="008F10D1" w:rsidRPr="00212139">
        <w:rPr>
          <w:rFonts w:ascii="Arial" w:hAnsi="Arial" w:cs="Arial"/>
          <w:lang w:val="en-ZA" w:eastAsia="en-ZA"/>
        </w:rPr>
        <w:t xml:space="preserve">e upon </w:t>
      </w:r>
      <w:r w:rsidR="00C412D0" w:rsidRPr="00212139">
        <w:rPr>
          <w:rFonts w:ascii="Arial" w:hAnsi="Arial" w:cs="Arial"/>
          <w:lang w:val="en-ZA" w:eastAsia="en-ZA"/>
        </w:rPr>
        <w:t xml:space="preserve">publication in the government </w:t>
      </w:r>
      <w:r w:rsidR="000A1AE8">
        <w:rPr>
          <w:rFonts w:ascii="Arial" w:hAnsi="Arial" w:cs="Arial"/>
          <w:lang w:val="en-ZA" w:eastAsia="en-ZA"/>
        </w:rPr>
        <w:t>gazette. From the NAB’s</w:t>
      </w:r>
      <w:r w:rsidR="008F10D1" w:rsidRPr="00212139">
        <w:rPr>
          <w:rFonts w:ascii="Arial" w:hAnsi="Arial" w:cs="Arial"/>
          <w:lang w:val="en-ZA" w:eastAsia="en-ZA"/>
        </w:rPr>
        <w:t xml:space="preserve"> point of </w:t>
      </w:r>
      <w:r w:rsidR="00C412D0" w:rsidRPr="00212139">
        <w:rPr>
          <w:rFonts w:ascii="Arial" w:hAnsi="Arial" w:cs="Arial"/>
          <w:lang w:val="en-ZA" w:eastAsia="en-ZA"/>
        </w:rPr>
        <w:t>view,</w:t>
      </w:r>
      <w:r w:rsidR="008F10D1" w:rsidRPr="00212139">
        <w:rPr>
          <w:rFonts w:ascii="Arial" w:hAnsi="Arial" w:cs="Arial"/>
          <w:lang w:val="en-ZA" w:eastAsia="en-ZA"/>
        </w:rPr>
        <w:t xml:space="preserve"> this draft </w:t>
      </w:r>
      <w:r w:rsidR="00C412D0" w:rsidRPr="00212139">
        <w:rPr>
          <w:rFonts w:ascii="Arial" w:hAnsi="Arial" w:cs="Arial"/>
          <w:lang w:val="en-ZA" w:eastAsia="en-ZA"/>
        </w:rPr>
        <w:t>Regulation is problematic</w:t>
      </w:r>
      <w:r w:rsidR="00AF18EE" w:rsidRPr="00212139">
        <w:rPr>
          <w:rFonts w:ascii="Arial" w:hAnsi="Arial" w:cs="Arial"/>
          <w:lang w:val="en-ZA" w:eastAsia="en-ZA"/>
        </w:rPr>
        <w:t xml:space="preserve">. On the backdrop of DTT </w:t>
      </w:r>
      <w:r w:rsidR="0005166F" w:rsidRPr="00212139">
        <w:rPr>
          <w:rFonts w:ascii="Arial" w:hAnsi="Arial" w:cs="Arial"/>
          <w:lang w:val="en-ZA" w:eastAsia="en-ZA"/>
        </w:rPr>
        <w:t xml:space="preserve">not yet </w:t>
      </w:r>
      <w:r w:rsidR="000A1AE8">
        <w:rPr>
          <w:rFonts w:ascii="Arial" w:hAnsi="Arial" w:cs="Arial"/>
          <w:lang w:val="en-ZA" w:eastAsia="en-ZA"/>
        </w:rPr>
        <w:t xml:space="preserve">being </w:t>
      </w:r>
      <w:r w:rsidR="0005166F" w:rsidRPr="00212139">
        <w:rPr>
          <w:rFonts w:ascii="Arial" w:hAnsi="Arial" w:cs="Arial"/>
          <w:lang w:val="en-ZA" w:eastAsia="en-ZA"/>
        </w:rPr>
        <w:t xml:space="preserve">completed, </w:t>
      </w:r>
      <w:r w:rsidR="00AF18EE" w:rsidRPr="00212139">
        <w:rPr>
          <w:rFonts w:ascii="Arial" w:hAnsi="Arial" w:cs="Arial"/>
          <w:lang w:val="en-ZA" w:eastAsia="en-ZA"/>
        </w:rPr>
        <w:t xml:space="preserve">the NAB proposes that the effective date of these regulations be </w:t>
      </w:r>
      <w:r w:rsidR="00DA03F4">
        <w:rPr>
          <w:rFonts w:ascii="Arial" w:hAnsi="Arial" w:cs="Arial"/>
          <w:lang w:val="en-ZA" w:eastAsia="en-ZA"/>
        </w:rPr>
        <w:t>post</w:t>
      </w:r>
      <w:r w:rsidR="00AF18EE" w:rsidRPr="00212139">
        <w:rPr>
          <w:rFonts w:ascii="Arial" w:hAnsi="Arial" w:cs="Arial"/>
          <w:lang w:val="en-ZA" w:eastAsia="en-ZA"/>
        </w:rPr>
        <w:t xml:space="preserve"> the digital switch over. </w:t>
      </w:r>
      <w:r w:rsidR="00C412D0" w:rsidRPr="00212139">
        <w:rPr>
          <w:rFonts w:ascii="Arial" w:hAnsi="Arial" w:cs="Arial"/>
          <w:lang w:val="en-ZA" w:eastAsia="en-ZA"/>
        </w:rPr>
        <w:t xml:space="preserve"> The NAB</w:t>
      </w:r>
      <w:r w:rsidR="0005166F" w:rsidRPr="00212139">
        <w:rPr>
          <w:rFonts w:ascii="Arial" w:hAnsi="Arial" w:cs="Arial"/>
          <w:lang w:val="en-ZA" w:eastAsia="en-ZA"/>
        </w:rPr>
        <w:t xml:space="preserve"> further </w:t>
      </w:r>
      <w:r w:rsidR="00C412D0" w:rsidRPr="00212139">
        <w:rPr>
          <w:rFonts w:ascii="Arial" w:hAnsi="Arial" w:cs="Arial"/>
          <w:lang w:val="en-ZA" w:eastAsia="en-ZA"/>
        </w:rPr>
        <w:t>believes</w:t>
      </w:r>
      <w:r w:rsidR="00C412D0" w:rsidRPr="00AA68D6">
        <w:rPr>
          <w:rFonts w:ascii="Arial" w:hAnsi="Arial" w:cs="Arial"/>
          <w:lang w:val="en-ZA" w:eastAsia="en-ZA"/>
        </w:rPr>
        <w:t xml:space="preserve"> the Authority needs to allow </w:t>
      </w:r>
      <w:r w:rsidR="00AF18EE" w:rsidRPr="00AA68D6">
        <w:rPr>
          <w:rFonts w:ascii="Arial" w:hAnsi="Arial" w:cs="Arial"/>
          <w:lang w:val="en-ZA" w:eastAsia="en-ZA"/>
        </w:rPr>
        <w:t>broadcasting</w:t>
      </w:r>
      <w:r w:rsidR="00C412D0" w:rsidRPr="00AA68D6">
        <w:rPr>
          <w:rFonts w:ascii="Arial" w:hAnsi="Arial" w:cs="Arial"/>
          <w:lang w:val="en-ZA" w:eastAsia="en-ZA"/>
        </w:rPr>
        <w:t xml:space="preserve"> </w:t>
      </w:r>
      <w:r w:rsidR="00AF18EE" w:rsidRPr="00AA68D6">
        <w:rPr>
          <w:rFonts w:ascii="Arial" w:hAnsi="Arial" w:cs="Arial"/>
          <w:lang w:val="en-ZA" w:eastAsia="en-ZA"/>
        </w:rPr>
        <w:t>licensees</w:t>
      </w:r>
      <w:r w:rsidR="00C412D0" w:rsidRPr="00AA68D6">
        <w:rPr>
          <w:rFonts w:ascii="Arial" w:hAnsi="Arial" w:cs="Arial"/>
          <w:lang w:val="en-ZA" w:eastAsia="en-ZA"/>
        </w:rPr>
        <w:t xml:space="preserve"> and all affected </w:t>
      </w:r>
      <w:r w:rsidR="00AF18EE" w:rsidRPr="00AA68D6">
        <w:rPr>
          <w:rFonts w:ascii="Arial" w:hAnsi="Arial" w:cs="Arial"/>
          <w:lang w:val="en-ZA" w:eastAsia="en-ZA"/>
        </w:rPr>
        <w:t>parties</w:t>
      </w:r>
      <w:r w:rsidR="00C412D0" w:rsidRPr="00AA68D6">
        <w:rPr>
          <w:rFonts w:ascii="Arial" w:hAnsi="Arial" w:cs="Arial"/>
          <w:lang w:val="en-ZA" w:eastAsia="en-ZA"/>
        </w:rPr>
        <w:t xml:space="preserve"> sufficient </w:t>
      </w:r>
      <w:r w:rsidR="00AF18EE" w:rsidRPr="00AA68D6">
        <w:rPr>
          <w:rFonts w:ascii="Arial" w:hAnsi="Arial" w:cs="Arial"/>
          <w:lang w:val="en-ZA" w:eastAsia="en-ZA"/>
        </w:rPr>
        <w:t xml:space="preserve">time to prepare </w:t>
      </w:r>
      <w:r w:rsidR="00C412D0" w:rsidRPr="00AA68D6">
        <w:rPr>
          <w:rFonts w:ascii="Arial" w:hAnsi="Arial" w:cs="Arial"/>
          <w:lang w:val="en-ZA" w:eastAsia="en-ZA"/>
        </w:rPr>
        <w:t>for compliance with the Regulations once passed. An immediate effective date wil</w:t>
      </w:r>
      <w:r w:rsidR="00AF18EE" w:rsidRPr="00AA68D6">
        <w:rPr>
          <w:rFonts w:ascii="Arial" w:hAnsi="Arial" w:cs="Arial"/>
          <w:lang w:val="en-ZA" w:eastAsia="en-ZA"/>
        </w:rPr>
        <w:t xml:space="preserve">l not assist licensees to effectively </w:t>
      </w:r>
      <w:r w:rsidR="00AA68D6" w:rsidRPr="00AA68D6">
        <w:rPr>
          <w:rFonts w:ascii="Arial" w:hAnsi="Arial" w:cs="Arial"/>
          <w:lang w:val="en-ZA" w:eastAsia="en-ZA"/>
        </w:rPr>
        <w:t>budget, and</w:t>
      </w:r>
      <w:r w:rsidR="00AF18EE" w:rsidRPr="00AA68D6">
        <w:rPr>
          <w:rFonts w:ascii="Arial" w:hAnsi="Arial" w:cs="Arial"/>
          <w:lang w:val="en-ZA" w:eastAsia="en-ZA"/>
        </w:rPr>
        <w:t xml:space="preserve"> </w:t>
      </w:r>
      <w:r w:rsidR="0005166F" w:rsidRPr="00AA68D6">
        <w:rPr>
          <w:rFonts w:ascii="Arial" w:hAnsi="Arial" w:cs="Arial"/>
          <w:lang w:val="en-ZA" w:eastAsia="en-ZA"/>
        </w:rPr>
        <w:t>where</w:t>
      </w:r>
      <w:r w:rsidR="00AF18EE" w:rsidRPr="00AA68D6">
        <w:rPr>
          <w:rFonts w:ascii="Arial" w:hAnsi="Arial" w:cs="Arial"/>
          <w:lang w:val="en-ZA" w:eastAsia="en-ZA"/>
        </w:rPr>
        <w:t xml:space="preserve"> necessar</w:t>
      </w:r>
      <w:r w:rsidR="0005166F" w:rsidRPr="00AA68D6">
        <w:rPr>
          <w:rFonts w:ascii="Arial" w:hAnsi="Arial" w:cs="Arial"/>
          <w:lang w:val="en-ZA" w:eastAsia="en-ZA"/>
        </w:rPr>
        <w:t>y recruit</w:t>
      </w:r>
      <w:r w:rsidR="00AA68D6" w:rsidRPr="00AA68D6">
        <w:rPr>
          <w:rFonts w:ascii="Arial" w:hAnsi="Arial" w:cs="Arial"/>
          <w:lang w:val="en-ZA" w:eastAsia="en-ZA"/>
        </w:rPr>
        <w:t>, or upskill</w:t>
      </w:r>
      <w:r w:rsidR="0005166F" w:rsidRPr="00AA68D6">
        <w:rPr>
          <w:rFonts w:ascii="Arial" w:hAnsi="Arial" w:cs="Arial"/>
          <w:lang w:val="en-ZA" w:eastAsia="en-ZA"/>
        </w:rPr>
        <w:t xml:space="preserve"> the necessary</w:t>
      </w:r>
      <w:r w:rsidR="00AA68D6" w:rsidRPr="00AA68D6">
        <w:rPr>
          <w:rFonts w:ascii="Arial" w:hAnsi="Arial" w:cs="Arial"/>
          <w:lang w:val="en-ZA" w:eastAsia="en-ZA"/>
        </w:rPr>
        <w:t xml:space="preserve"> pool of </w:t>
      </w:r>
      <w:r w:rsidR="0005166F" w:rsidRPr="00AA68D6">
        <w:rPr>
          <w:rFonts w:ascii="Arial" w:hAnsi="Arial" w:cs="Arial"/>
          <w:lang w:val="en-ZA" w:eastAsia="en-ZA"/>
        </w:rPr>
        <w:t>skills</w:t>
      </w:r>
      <w:r w:rsidR="00123F22">
        <w:rPr>
          <w:rFonts w:ascii="Arial" w:hAnsi="Arial" w:cs="Arial"/>
          <w:lang w:val="en-ZA" w:eastAsia="en-ZA"/>
        </w:rPr>
        <w:t xml:space="preserve"> to deal with the issue of TVW</w:t>
      </w:r>
      <w:r w:rsidR="0005166F" w:rsidRPr="00AA68D6">
        <w:rPr>
          <w:rFonts w:ascii="Arial" w:hAnsi="Arial" w:cs="Arial"/>
          <w:lang w:val="en-ZA" w:eastAsia="en-ZA"/>
        </w:rPr>
        <w:t>S.</w:t>
      </w:r>
    </w:p>
    <w:p w:rsidR="00AA68D6" w:rsidRDefault="00AA68D6" w:rsidP="00AA68D6">
      <w:pPr>
        <w:pStyle w:val="Heading1"/>
        <w:numPr>
          <w:ilvl w:val="0"/>
          <w:numId w:val="1"/>
        </w:numPr>
        <w:spacing w:line="360" w:lineRule="auto"/>
        <w:jc w:val="both"/>
        <w:rPr>
          <w:rFonts w:ascii="Arial" w:hAnsi="Arial" w:cs="Arial"/>
          <w:b/>
          <w:color w:val="auto"/>
          <w:sz w:val="22"/>
          <w:szCs w:val="22"/>
          <w:lang w:val="en-ZA" w:eastAsia="en-ZA"/>
        </w:rPr>
      </w:pPr>
      <w:bookmarkStart w:id="11" w:name="_Toc482112065"/>
      <w:r w:rsidRPr="00AA68D6">
        <w:rPr>
          <w:rFonts w:ascii="Arial" w:hAnsi="Arial" w:cs="Arial"/>
          <w:b/>
          <w:color w:val="auto"/>
          <w:sz w:val="22"/>
          <w:szCs w:val="22"/>
          <w:lang w:val="en-ZA" w:eastAsia="en-ZA"/>
        </w:rPr>
        <w:t>CONCLUSION</w:t>
      </w:r>
      <w:bookmarkEnd w:id="11"/>
    </w:p>
    <w:p w:rsidR="00212139" w:rsidRPr="00212139" w:rsidRDefault="00212139" w:rsidP="00212139">
      <w:pPr>
        <w:rPr>
          <w:lang w:val="en-ZA" w:eastAsia="en-ZA"/>
        </w:rPr>
      </w:pPr>
    </w:p>
    <w:p w:rsidR="00AA68D6" w:rsidRDefault="00AA68D6" w:rsidP="00AA68D6">
      <w:pPr>
        <w:pStyle w:val="ListParagraph"/>
        <w:numPr>
          <w:ilvl w:val="1"/>
          <w:numId w:val="1"/>
        </w:numPr>
        <w:spacing w:line="360" w:lineRule="auto"/>
        <w:jc w:val="both"/>
        <w:rPr>
          <w:rFonts w:ascii="Arial" w:hAnsi="Arial" w:cs="Arial"/>
          <w:lang w:val="en-ZA" w:eastAsia="en-ZA"/>
        </w:rPr>
      </w:pPr>
      <w:r w:rsidRPr="00AA68D6">
        <w:rPr>
          <w:rFonts w:ascii="Arial" w:hAnsi="Arial" w:cs="Arial"/>
          <w:lang w:val="en-ZA" w:eastAsia="en-ZA"/>
        </w:rPr>
        <w:t xml:space="preserve">The NAB welcomes the opportunity to make its written submission. </w:t>
      </w:r>
    </w:p>
    <w:p w:rsidR="000C4BC8" w:rsidRDefault="000C4BC8" w:rsidP="000C4BC8">
      <w:pPr>
        <w:pStyle w:val="ListParagraph"/>
        <w:spacing w:line="360" w:lineRule="auto"/>
        <w:ind w:left="792"/>
        <w:jc w:val="both"/>
        <w:rPr>
          <w:rFonts w:ascii="Arial" w:hAnsi="Arial" w:cs="Arial"/>
          <w:lang w:val="en-ZA" w:eastAsia="en-ZA"/>
        </w:rPr>
      </w:pPr>
    </w:p>
    <w:p w:rsidR="000C4BC8" w:rsidRDefault="000C4BC8" w:rsidP="00AA68D6">
      <w:pPr>
        <w:pStyle w:val="ListParagraph"/>
        <w:numPr>
          <w:ilvl w:val="1"/>
          <w:numId w:val="1"/>
        </w:numPr>
        <w:spacing w:line="360" w:lineRule="auto"/>
        <w:jc w:val="both"/>
        <w:rPr>
          <w:rFonts w:ascii="Arial" w:hAnsi="Arial" w:cs="Arial"/>
          <w:lang w:val="en-ZA" w:eastAsia="en-ZA"/>
        </w:rPr>
      </w:pPr>
      <w:r>
        <w:rPr>
          <w:rFonts w:ascii="Arial" w:hAnsi="Arial" w:cs="Arial"/>
          <w:lang w:val="en-ZA" w:eastAsia="en-ZA"/>
        </w:rPr>
        <w:t>The NAB would like to be given the opportunity to participate in oral hearings should the Authority be holding any.</w:t>
      </w:r>
    </w:p>
    <w:p w:rsidR="00AA68D6" w:rsidRPr="00AA68D6" w:rsidRDefault="00AA68D6" w:rsidP="00AA68D6">
      <w:pPr>
        <w:pStyle w:val="ListParagraph"/>
        <w:spacing w:line="360" w:lineRule="auto"/>
        <w:ind w:left="792"/>
        <w:jc w:val="both"/>
        <w:rPr>
          <w:rFonts w:ascii="Arial" w:hAnsi="Arial" w:cs="Arial"/>
          <w:lang w:val="en-ZA" w:eastAsia="en-ZA"/>
        </w:rPr>
      </w:pPr>
    </w:p>
    <w:p w:rsidR="00AA68D6" w:rsidRDefault="00AA68D6" w:rsidP="00AA68D6">
      <w:pPr>
        <w:pStyle w:val="ListParagraph"/>
        <w:numPr>
          <w:ilvl w:val="1"/>
          <w:numId w:val="1"/>
        </w:numPr>
        <w:spacing w:line="360" w:lineRule="auto"/>
        <w:jc w:val="both"/>
        <w:rPr>
          <w:rFonts w:ascii="Arial" w:hAnsi="Arial" w:cs="Arial"/>
          <w:lang w:val="en-ZA" w:eastAsia="en-ZA"/>
        </w:rPr>
      </w:pPr>
      <w:r w:rsidRPr="00AA68D6">
        <w:rPr>
          <w:rFonts w:ascii="Arial" w:hAnsi="Arial" w:cs="Arial"/>
          <w:lang w:val="en-ZA" w:eastAsia="en-ZA"/>
        </w:rPr>
        <w:lastRenderedPageBreak/>
        <w:t>The NAB is o</w:t>
      </w:r>
      <w:r>
        <w:rPr>
          <w:rFonts w:ascii="Arial" w:hAnsi="Arial" w:cs="Arial"/>
          <w:lang w:val="en-ZA" w:eastAsia="en-ZA"/>
        </w:rPr>
        <w:t xml:space="preserve">f the view that this process is </w:t>
      </w:r>
      <w:r w:rsidRPr="00AA68D6">
        <w:rPr>
          <w:rFonts w:ascii="Arial" w:hAnsi="Arial" w:cs="Arial"/>
          <w:lang w:val="en-ZA" w:eastAsia="en-ZA"/>
        </w:rPr>
        <w:t>premature and needs to be considered after the country has successfully implemented BDM.</w:t>
      </w:r>
    </w:p>
    <w:p w:rsidR="00AA68D6" w:rsidRPr="00AA68D6" w:rsidRDefault="00AA68D6" w:rsidP="00AA68D6">
      <w:pPr>
        <w:pStyle w:val="ListParagraph"/>
        <w:rPr>
          <w:rFonts w:ascii="Arial" w:hAnsi="Arial" w:cs="Arial"/>
          <w:lang w:val="en-ZA" w:eastAsia="en-ZA"/>
        </w:rPr>
      </w:pPr>
    </w:p>
    <w:p w:rsidR="00AA68D6" w:rsidRPr="00AA68D6" w:rsidRDefault="00AA68D6" w:rsidP="00AA68D6">
      <w:pPr>
        <w:pStyle w:val="ListParagraph"/>
        <w:numPr>
          <w:ilvl w:val="1"/>
          <w:numId w:val="1"/>
        </w:numPr>
        <w:spacing w:line="360" w:lineRule="auto"/>
        <w:jc w:val="both"/>
        <w:rPr>
          <w:rFonts w:ascii="Arial" w:hAnsi="Arial" w:cs="Arial"/>
          <w:lang w:val="en-ZA" w:eastAsia="en-ZA"/>
        </w:rPr>
      </w:pPr>
      <w:r>
        <w:rPr>
          <w:rFonts w:ascii="Arial" w:hAnsi="Arial" w:cs="Arial"/>
          <w:lang w:val="en-ZA" w:eastAsia="en-ZA"/>
        </w:rPr>
        <w:t>The NAB believes</w:t>
      </w:r>
      <w:r w:rsidR="000A1AE8">
        <w:rPr>
          <w:rFonts w:ascii="Arial" w:hAnsi="Arial" w:cs="Arial"/>
          <w:lang w:val="en-ZA" w:eastAsia="en-ZA"/>
        </w:rPr>
        <w:t xml:space="preserve"> a proper roadmap of the </w:t>
      </w:r>
      <w:r>
        <w:rPr>
          <w:rFonts w:ascii="Arial" w:hAnsi="Arial" w:cs="Arial"/>
          <w:lang w:val="en-ZA" w:eastAsia="en-ZA"/>
        </w:rPr>
        <w:t xml:space="preserve">processes and procedures for the setting up of the </w:t>
      </w:r>
      <w:r w:rsidRPr="00AA68D6">
        <w:rPr>
          <w:rFonts w:ascii="Arial" w:hAnsi="Arial" w:cs="Arial"/>
          <w:lang w:val="en-ZA" w:eastAsia="en-ZA"/>
        </w:rPr>
        <w:t>GLSD</w:t>
      </w:r>
      <w:r>
        <w:rPr>
          <w:rFonts w:ascii="Arial" w:hAnsi="Arial" w:cs="Arial"/>
          <w:lang w:val="en-ZA" w:eastAsia="en-ZA"/>
        </w:rPr>
        <w:t xml:space="preserve">, and the consequent licencing/registration/authorisation of the GLSDO must be mapped out before engaging in the regulation process. </w:t>
      </w:r>
    </w:p>
    <w:p w:rsidR="00146F95" w:rsidRPr="00AA68D6" w:rsidRDefault="00146F95" w:rsidP="00AA68D6">
      <w:pPr>
        <w:pStyle w:val="ListParagraph"/>
        <w:spacing w:line="360" w:lineRule="auto"/>
        <w:jc w:val="both"/>
        <w:rPr>
          <w:rFonts w:ascii="Arial" w:hAnsi="Arial" w:cs="Arial"/>
          <w:lang w:val="en-ZA" w:eastAsia="en-ZA"/>
        </w:rPr>
      </w:pPr>
    </w:p>
    <w:p w:rsidR="00DB127C" w:rsidRDefault="00DB127C"/>
    <w:sectPr w:rsidR="00DB127C">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A22" w:rsidRDefault="00CA4A22" w:rsidP="00C81F66">
      <w:pPr>
        <w:spacing w:after="0" w:line="240" w:lineRule="auto"/>
      </w:pPr>
      <w:r>
        <w:separator/>
      </w:r>
    </w:p>
  </w:endnote>
  <w:endnote w:type="continuationSeparator" w:id="0">
    <w:p w:rsidR="00CA4A22" w:rsidRDefault="00CA4A22" w:rsidP="00C8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789333"/>
      <w:docPartObj>
        <w:docPartGallery w:val="Page Numbers (Bottom of Page)"/>
        <w:docPartUnique/>
      </w:docPartObj>
    </w:sdtPr>
    <w:sdtEndPr>
      <w:rPr>
        <w:noProof/>
      </w:rPr>
    </w:sdtEndPr>
    <w:sdtContent>
      <w:p w:rsidR="000A1AE8" w:rsidRDefault="000A1AE8">
        <w:pPr>
          <w:pStyle w:val="Footer"/>
          <w:jc w:val="right"/>
        </w:pPr>
        <w:r>
          <w:fldChar w:fldCharType="begin"/>
        </w:r>
        <w:r>
          <w:instrText xml:space="preserve"> PAGE   \* MERGEFORMAT </w:instrText>
        </w:r>
        <w:r>
          <w:fldChar w:fldCharType="separate"/>
        </w:r>
        <w:r w:rsidR="00D50CBD">
          <w:rPr>
            <w:noProof/>
          </w:rPr>
          <w:t>1</w:t>
        </w:r>
        <w:r>
          <w:rPr>
            <w:noProof/>
          </w:rPr>
          <w:fldChar w:fldCharType="end"/>
        </w:r>
      </w:p>
    </w:sdtContent>
  </w:sdt>
  <w:p w:rsidR="000A1AE8" w:rsidRDefault="000A1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A22" w:rsidRDefault="00CA4A22" w:rsidP="00C81F66">
      <w:pPr>
        <w:spacing w:after="0" w:line="240" w:lineRule="auto"/>
      </w:pPr>
      <w:r>
        <w:separator/>
      </w:r>
    </w:p>
  </w:footnote>
  <w:footnote w:type="continuationSeparator" w:id="0">
    <w:p w:rsidR="00CA4A22" w:rsidRDefault="00CA4A22" w:rsidP="00C81F66">
      <w:pPr>
        <w:spacing w:after="0" w:line="240" w:lineRule="auto"/>
      </w:pPr>
      <w:r>
        <w:continuationSeparator/>
      </w:r>
    </w:p>
  </w:footnote>
  <w:footnote w:id="1">
    <w:p w:rsidR="00146F95" w:rsidRPr="00146F95" w:rsidRDefault="00146F95">
      <w:pPr>
        <w:pStyle w:val="FootnoteText"/>
        <w:rPr>
          <w:lang w:val="en-ZA"/>
        </w:rPr>
      </w:pPr>
      <w:r>
        <w:rPr>
          <w:rStyle w:val="FootnoteReference"/>
        </w:rPr>
        <w:footnoteRef/>
      </w:r>
      <w:r>
        <w:t xml:space="preserve"> </w:t>
      </w:r>
      <w:r w:rsidRPr="00146F95">
        <w:rPr>
          <w:rFonts w:cs="Arial"/>
          <w:sz w:val="22"/>
          <w:szCs w:val="22"/>
          <w:lang w:eastAsia="en-ZA"/>
        </w:rPr>
        <w:t>NAB response to ICASA’s notice regarding the discussion paper on the draft framework for dynamic and opportunistic spectrum management</w:t>
      </w:r>
      <w:r>
        <w:rPr>
          <w:rFonts w:cs="Arial"/>
          <w:sz w:val="22"/>
          <w:szCs w:val="22"/>
          <w:lang w:eastAsia="en-ZA"/>
        </w:rPr>
        <w:t xml:space="preserve"> dated 18 December 2015.</w:t>
      </w:r>
    </w:p>
  </w:footnote>
  <w:footnote w:id="2">
    <w:p w:rsidR="003E12D2" w:rsidRPr="00C81F66" w:rsidRDefault="003E12D2" w:rsidP="003E12D2">
      <w:pPr>
        <w:pStyle w:val="FootnoteText"/>
        <w:rPr>
          <w:lang w:val="en-ZA"/>
        </w:rPr>
      </w:pPr>
      <w:r>
        <w:rPr>
          <w:rStyle w:val="FootnoteReference"/>
        </w:rPr>
        <w:footnoteRef/>
      </w:r>
      <w:r>
        <w:t xml:space="preserve"> </w:t>
      </w:r>
      <w:r>
        <w:rPr>
          <w:lang w:val="en-ZA"/>
        </w:rPr>
        <w:t>At page 16 of the Findings Document.</w:t>
      </w:r>
    </w:p>
  </w:footnote>
  <w:footnote w:id="3">
    <w:p w:rsidR="00343448" w:rsidRPr="00343448" w:rsidRDefault="00343448">
      <w:pPr>
        <w:pStyle w:val="FootnoteText"/>
        <w:rPr>
          <w:lang w:val="en-ZA"/>
        </w:rPr>
      </w:pPr>
      <w:r>
        <w:rPr>
          <w:rStyle w:val="FootnoteReference"/>
        </w:rPr>
        <w:footnoteRef/>
      </w:r>
      <w:r>
        <w:t xml:space="preserve"> </w:t>
      </w:r>
      <w:r>
        <w:rPr>
          <w:lang w:val="en-ZA"/>
        </w:rPr>
        <w:t>Recommendation 76 0of the Radio Regulations.</w:t>
      </w:r>
    </w:p>
  </w:footnote>
  <w:footnote w:id="4">
    <w:p w:rsidR="000E535F" w:rsidRPr="000E535F" w:rsidRDefault="000E535F">
      <w:pPr>
        <w:pStyle w:val="FootnoteText"/>
        <w:rPr>
          <w:lang w:val="en-ZA"/>
        </w:rPr>
      </w:pPr>
      <w:r>
        <w:rPr>
          <w:rStyle w:val="FootnoteReference"/>
        </w:rPr>
        <w:footnoteRef/>
      </w:r>
      <w:r>
        <w:t xml:space="preserve"> </w:t>
      </w:r>
      <w:r>
        <w:rPr>
          <w:lang w:val="en-ZA"/>
        </w:rPr>
        <w:t>At page 9 of the Positon Paper.</w:t>
      </w:r>
    </w:p>
  </w:footnote>
  <w:footnote w:id="5">
    <w:p w:rsidR="00F51349" w:rsidRPr="00F51349" w:rsidRDefault="00F51349">
      <w:pPr>
        <w:pStyle w:val="FootnoteText"/>
        <w:rPr>
          <w:lang w:val="en-ZA"/>
        </w:rPr>
      </w:pPr>
      <w:r>
        <w:rPr>
          <w:rStyle w:val="FootnoteReference"/>
        </w:rPr>
        <w:footnoteRef/>
      </w:r>
      <w:r>
        <w:t xml:space="preserve"> </w:t>
      </w:r>
      <w:r>
        <w:rPr>
          <w:lang w:val="en-ZA"/>
        </w:rPr>
        <w:t>At page 11 of the Position Paper</w:t>
      </w:r>
    </w:p>
  </w:footnote>
  <w:footnote w:id="6">
    <w:p w:rsidR="0005166F" w:rsidRPr="0005166F" w:rsidRDefault="0005166F">
      <w:pPr>
        <w:pStyle w:val="FootnoteText"/>
        <w:rPr>
          <w:lang w:val="en-ZA"/>
        </w:rPr>
      </w:pPr>
      <w:r>
        <w:rPr>
          <w:rStyle w:val="FootnoteReference"/>
        </w:rPr>
        <w:footnoteRef/>
      </w:r>
      <w:r>
        <w:t xml:space="preserve"> </w:t>
      </w:r>
      <w:r>
        <w:rPr>
          <w:lang w:val="en-ZA"/>
        </w:rPr>
        <w:t>SABC written submission on the draft Regulations on the use of TVWS.</w:t>
      </w:r>
    </w:p>
  </w:footnote>
  <w:footnote w:id="7">
    <w:p w:rsidR="002E5812" w:rsidRPr="002E5812" w:rsidRDefault="002E5812">
      <w:pPr>
        <w:pStyle w:val="FootnoteText"/>
        <w:rPr>
          <w:lang w:val="en-ZA"/>
        </w:rPr>
      </w:pPr>
      <w:r>
        <w:rPr>
          <w:rStyle w:val="FootnoteReference"/>
        </w:rPr>
        <w:footnoteRef/>
      </w:r>
      <w:r>
        <w:rPr>
          <w:lang w:val="en-ZA"/>
        </w:rPr>
        <w:t xml:space="preserve"> Draft Regulations 22of the draft Regulations. </w:t>
      </w:r>
    </w:p>
  </w:footnote>
  <w:footnote w:id="8">
    <w:p w:rsidR="008E037A" w:rsidRPr="008E037A" w:rsidRDefault="008E037A">
      <w:pPr>
        <w:pStyle w:val="FootnoteText"/>
        <w:rPr>
          <w:lang w:val="en-ZA"/>
        </w:rPr>
      </w:pPr>
      <w:r>
        <w:rPr>
          <w:rStyle w:val="FootnoteReference"/>
        </w:rPr>
        <w:footnoteRef/>
      </w:r>
      <w:r>
        <w:t xml:space="preserve"> </w:t>
      </w:r>
      <w:r w:rsidR="00357F4C">
        <w:rPr>
          <w:lang w:val="en-ZA"/>
        </w:rPr>
        <w:t>Clause</w:t>
      </w:r>
      <w:r>
        <w:rPr>
          <w:lang w:val="en-ZA"/>
        </w:rPr>
        <w:t xml:space="preserve"> 22 of the draft Regulations.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5771"/>
    <w:multiLevelType w:val="hybridMultilevel"/>
    <w:tmpl w:val="F7F65B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5AC1595"/>
    <w:multiLevelType w:val="multilevel"/>
    <w:tmpl w:val="1868BC66"/>
    <w:lvl w:ilvl="0">
      <w:start w:val="1"/>
      <w:numFmt w:val="decimal"/>
      <w:lvlText w:val="%1."/>
      <w:lvlJc w:val="left"/>
      <w:pPr>
        <w:ind w:left="360" w:hanging="360"/>
      </w:pPr>
    </w:lvl>
    <w:lvl w:ilvl="1">
      <w:start w:val="1"/>
      <w:numFmt w:val="decimal"/>
      <w:lvlText w:val="%1.%2."/>
      <w:lvlJc w:val="left"/>
      <w:pPr>
        <w:ind w:left="792" w:hanging="432"/>
      </w:pPr>
      <w:rPr>
        <w:i w:val="0"/>
        <w:color w:val="auto"/>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C635A3"/>
    <w:multiLevelType w:val="multilevel"/>
    <w:tmpl w:val="F866E2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AFA6F1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AA4B4E"/>
    <w:multiLevelType w:val="multilevel"/>
    <w:tmpl w:val="1C090025"/>
    <w:lvl w:ilvl="0">
      <w:start w:val="1"/>
      <w:numFmt w:val="decimal"/>
      <w:lvlText w:val="%1"/>
      <w:lvlJc w:val="left"/>
      <w:pPr>
        <w:ind w:left="432" w:hanging="432"/>
      </w:pPr>
      <w:rPr>
        <w:rFonts w:hint="default"/>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74634B6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9E"/>
    <w:rsid w:val="00007F82"/>
    <w:rsid w:val="00042C40"/>
    <w:rsid w:val="0005166F"/>
    <w:rsid w:val="000954F5"/>
    <w:rsid w:val="0009724A"/>
    <w:rsid w:val="000A1AE8"/>
    <w:rsid w:val="000A5623"/>
    <w:rsid w:val="000C4BC8"/>
    <w:rsid w:val="000E535F"/>
    <w:rsid w:val="00112AF9"/>
    <w:rsid w:val="00123F22"/>
    <w:rsid w:val="00125198"/>
    <w:rsid w:val="001315B2"/>
    <w:rsid w:val="00146F95"/>
    <w:rsid w:val="00185BA9"/>
    <w:rsid w:val="00212139"/>
    <w:rsid w:val="002422A9"/>
    <w:rsid w:val="002B2275"/>
    <w:rsid w:val="002E5812"/>
    <w:rsid w:val="002F43F7"/>
    <w:rsid w:val="002F4A7A"/>
    <w:rsid w:val="00305B4B"/>
    <w:rsid w:val="00343448"/>
    <w:rsid w:val="00357F4C"/>
    <w:rsid w:val="00364A65"/>
    <w:rsid w:val="00380C0C"/>
    <w:rsid w:val="003E12D2"/>
    <w:rsid w:val="00440264"/>
    <w:rsid w:val="0044599D"/>
    <w:rsid w:val="0047131C"/>
    <w:rsid w:val="00476F84"/>
    <w:rsid w:val="004B47A4"/>
    <w:rsid w:val="004C0687"/>
    <w:rsid w:val="00505D7B"/>
    <w:rsid w:val="00524F59"/>
    <w:rsid w:val="0052596F"/>
    <w:rsid w:val="00541199"/>
    <w:rsid w:val="00552EEC"/>
    <w:rsid w:val="00563071"/>
    <w:rsid w:val="00583500"/>
    <w:rsid w:val="005A0094"/>
    <w:rsid w:val="005C4D70"/>
    <w:rsid w:val="005F5D22"/>
    <w:rsid w:val="00600597"/>
    <w:rsid w:val="00607B6A"/>
    <w:rsid w:val="006260AD"/>
    <w:rsid w:val="006375E5"/>
    <w:rsid w:val="0069004F"/>
    <w:rsid w:val="006E3F63"/>
    <w:rsid w:val="00720E73"/>
    <w:rsid w:val="007550AE"/>
    <w:rsid w:val="007A6815"/>
    <w:rsid w:val="007C102D"/>
    <w:rsid w:val="007F1530"/>
    <w:rsid w:val="00851CFF"/>
    <w:rsid w:val="008B1643"/>
    <w:rsid w:val="008E037A"/>
    <w:rsid w:val="008F10D1"/>
    <w:rsid w:val="008F72AF"/>
    <w:rsid w:val="00912239"/>
    <w:rsid w:val="009A4697"/>
    <w:rsid w:val="00AA68D6"/>
    <w:rsid w:val="00AA6C39"/>
    <w:rsid w:val="00AB1202"/>
    <w:rsid w:val="00AE6B72"/>
    <w:rsid w:val="00AF18EE"/>
    <w:rsid w:val="00B02A90"/>
    <w:rsid w:val="00B42701"/>
    <w:rsid w:val="00B75AAB"/>
    <w:rsid w:val="00C17A56"/>
    <w:rsid w:val="00C412D0"/>
    <w:rsid w:val="00C60662"/>
    <w:rsid w:val="00C81F66"/>
    <w:rsid w:val="00CA4A22"/>
    <w:rsid w:val="00D50CBD"/>
    <w:rsid w:val="00D720B7"/>
    <w:rsid w:val="00D74B17"/>
    <w:rsid w:val="00DA03F4"/>
    <w:rsid w:val="00DB127C"/>
    <w:rsid w:val="00DE7FBD"/>
    <w:rsid w:val="00E25E2C"/>
    <w:rsid w:val="00E96D41"/>
    <w:rsid w:val="00EB4CE6"/>
    <w:rsid w:val="00F01648"/>
    <w:rsid w:val="00F51349"/>
    <w:rsid w:val="00F81440"/>
    <w:rsid w:val="00FA6C63"/>
    <w:rsid w:val="00FB19CC"/>
    <w:rsid w:val="00FC609E"/>
    <w:rsid w:val="00FE47BE"/>
    <w:rsid w:val="00FF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60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68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260A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260AD"/>
    <w:pPr>
      <w:outlineLvl w:val="9"/>
    </w:pPr>
  </w:style>
  <w:style w:type="paragraph" w:styleId="TOC1">
    <w:name w:val="toc 1"/>
    <w:basedOn w:val="Normal"/>
    <w:next w:val="Normal"/>
    <w:autoRedefine/>
    <w:uiPriority w:val="39"/>
    <w:unhideWhenUsed/>
    <w:rsid w:val="006260AD"/>
    <w:pPr>
      <w:spacing w:after="100"/>
    </w:pPr>
  </w:style>
  <w:style w:type="character" w:styleId="Hyperlink">
    <w:name w:val="Hyperlink"/>
    <w:basedOn w:val="DefaultParagraphFont"/>
    <w:uiPriority w:val="99"/>
    <w:unhideWhenUsed/>
    <w:rsid w:val="006260AD"/>
    <w:rPr>
      <w:color w:val="0563C1" w:themeColor="hyperlink"/>
      <w:u w:val="single"/>
    </w:rPr>
  </w:style>
  <w:style w:type="paragraph" w:styleId="NoSpacing">
    <w:name w:val="No Spacing"/>
    <w:uiPriority w:val="1"/>
    <w:qFormat/>
    <w:rsid w:val="006260AD"/>
    <w:pPr>
      <w:spacing w:after="0" w:line="240" w:lineRule="auto"/>
    </w:pPr>
  </w:style>
  <w:style w:type="paragraph" w:styleId="ListParagraph">
    <w:name w:val="List Paragraph"/>
    <w:basedOn w:val="Normal"/>
    <w:uiPriority w:val="34"/>
    <w:qFormat/>
    <w:rsid w:val="006260AD"/>
    <w:pPr>
      <w:ind w:left="720"/>
      <w:contextualSpacing/>
    </w:pPr>
  </w:style>
  <w:style w:type="paragraph" w:styleId="FootnoteText">
    <w:name w:val="footnote text"/>
    <w:basedOn w:val="Normal"/>
    <w:link w:val="FootnoteTextChar"/>
    <w:uiPriority w:val="99"/>
    <w:semiHidden/>
    <w:unhideWhenUsed/>
    <w:rsid w:val="00C81F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F66"/>
    <w:rPr>
      <w:sz w:val="20"/>
      <w:szCs w:val="20"/>
    </w:rPr>
  </w:style>
  <w:style w:type="character" w:styleId="FootnoteReference">
    <w:name w:val="footnote reference"/>
    <w:basedOn w:val="DefaultParagraphFont"/>
    <w:uiPriority w:val="99"/>
    <w:semiHidden/>
    <w:unhideWhenUsed/>
    <w:rsid w:val="00C81F66"/>
    <w:rPr>
      <w:vertAlign w:val="superscript"/>
    </w:rPr>
  </w:style>
  <w:style w:type="paragraph" w:styleId="Header">
    <w:name w:val="header"/>
    <w:basedOn w:val="Normal"/>
    <w:link w:val="HeaderChar"/>
    <w:uiPriority w:val="99"/>
    <w:unhideWhenUsed/>
    <w:rsid w:val="00F81440"/>
    <w:pPr>
      <w:tabs>
        <w:tab w:val="center" w:pos="4680"/>
        <w:tab w:val="right" w:pos="9360"/>
      </w:tabs>
      <w:spacing w:after="0" w:line="240" w:lineRule="auto"/>
    </w:pPr>
    <w:rPr>
      <w:rFonts w:ascii="Arial" w:eastAsia="Times New Roman" w:hAnsi="Arial" w:cs="Times New Roman"/>
      <w:sz w:val="20"/>
      <w:szCs w:val="20"/>
      <w:lang w:val="en-GB"/>
    </w:rPr>
  </w:style>
  <w:style w:type="character" w:customStyle="1" w:styleId="HeaderChar">
    <w:name w:val="Header Char"/>
    <w:basedOn w:val="DefaultParagraphFont"/>
    <w:link w:val="Header"/>
    <w:uiPriority w:val="99"/>
    <w:rsid w:val="00F81440"/>
    <w:rPr>
      <w:rFonts w:ascii="Arial" w:eastAsia="Times New Roman" w:hAnsi="Arial" w:cs="Times New Roman"/>
      <w:sz w:val="20"/>
      <w:szCs w:val="20"/>
      <w:lang w:val="en-GB"/>
    </w:rPr>
  </w:style>
  <w:style w:type="character" w:customStyle="1" w:styleId="Heading2Char">
    <w:name w:val="Heading 2 Char"/>
    <w:basedOn w:val="DefaultParagraphFont"/>
    <w:link w:val="Heading2"/>
    <w:uiPriority w:val="9"/>
    <w:rsid w:val="00AA68D6"/>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12139"/>
    <w:pPr>
      <w:spacing w:after="100"/>
      <w:ind w:left="220"/>
    </w:pPr>
  </w:style>
  <w:style w:type="paragraph" w:styleId="Footer">
    <w:name w:val="footer"/>
    <w:basedOn w:val="Normal"/>
    <w:link w:val="FooterChar"/>
    <w:uiPriority w:val="99"/>
    <w:unhideWhenUsed/>
    <w:rsid w:val="000A1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AE8"/>
  </w:style>
  <w:style w:type="paragraph" w:styleId="BalloonText">
    <w:name w:val="Balloon Text"/>
    <w:basedOn w:val="Normal"/>
    <w:link w:val="BalloonTextChar"/>
    <w:uiPriority w:val="99"/>
    <w:semiHidden/>
    <w:unhideWhenUsed/>
    <w:rsid w:val="00DA0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3F4"/>
    <w:rPr>
      <w:rFonts w:ascii="Tahoma" w:hAnsi="Tahoma" w:cs="Tahoma"/>
      <w:sz w:val="16"/>
      <w:szCs w:val="16"/>
    </w:rPr>
  </w:style>
  <w:style w:type="character" w:styleId="CommentReference">
    <w:name w:val="annotation reference"/>
    <w:basedOn w:val="DefaultParagraphFont"/>
    <w:uiPriority w:val="99"/>
    <w:semiHidden/>
    <w:unhideWhenUsed/>
    <w:rsid w:val="00DA03F4"/>
    <w:rPr>
      <w:sz w:val="16"/>
      <w:szCs w:val="16"/>
    </w:rPr>
  </w:style>
  <w:style w:type="paragraph" w:styleId="CommentText">
    <w:name w:val="annotation text"/>
    <w:basedOn w:val="Normal"/>
    <w:link w:val="CommentTextChar"/>
    <w:uiPriority w:val="99"/>
    <w:semiHidden/>
    <w:unhideWhenUsed/>
    <w:rsid w:val="00DA03F4"/>
    <w:pPr>
      <w:spacing w:line="240" w:lineRule="auto"/>
    </w:pPr>
    <w:rPr>
      <w:sz w:val="20"/>
      <w:szCs w:val="20"/>
    </w:rPr>
  </w:style>
  <w:style w:type="character" w:customStyle="1" w:styleId="CommentTextChar">
    <w:name w:val="Comment Text Char"/>
    <w:basedOn w:val="DefaultParagraphFont"/>
    <w:link w:val="CommentText"/>
    <w:uiPriority w:val="99"/>
    <w:semiHidden/>
    <w:rsid w:val="00DA03F4"/>
    <w:rPr>
      <w:sz w:val="20"/>
      <w:szCs w:val="20"/>
    </w:rPr>
  </w:style>
  <w:style w:type="paragraph" w:styleId="CommentSubject">
    <w:name w:val="annotation subject"/>
    <w:basedOn w:val="CommentText"/>
    <w:next w:val="CommentText"/>
    <w:link w:val="CommentSubjectChar"/>
    <w:uiPriority w:val="99"/>
    <w:semiHidden/>
    <w:unhideWhenUsed/>
    <w:rsid w:val="00DA03F4"/>
    <w:rPr>
      <w:b/>
      <w:bCs/>
    </w:rPr>
  </w:style>
  <w:style w:type="character" w:customStyle="1" w:styleId="CommentSubjectChar">
    <w:name w:val="Comment Subject Char"/>
    <w:basedOn w:val="CommentTextChar"/>
    <w:link w:val="CommentSubject"/>
    <w:uiPriority w:val="99"/>
    <w:semiHidden/>
    <w:rsid w:val="00DA03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60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68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260A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260AD"/>
    <w:pPr>
      <w:outlineLvl w:val="9"/>
    </w:pPr>
  </w:style>
  <w:style w:type="paragraph" w:styleId="TOC1">
    <w:name w:val="toc 1"/>
    <w:basedOn w:val="Normal"/>
    <w:next w:val="Normal"/>
    <w:autoRedefine/>
    <w:uiPriority w:val="39"/>
    <w:unhideWhenUsed/>
    <w:rsid w:val="006260AD"/>
    <w:pPr>
      <w:spacing w:after="100"/>
    </w:pPr>
  </w:style>
  <w:style w:type="character" w:styleId="Hyperlink">
    <w:name w:val="Hyperlink"/>
    <w:basedOn w:val="DefaultParagraphFont"/>
    <w:uiPriority w:val="99"/>
    <w:unhideWhenUsed/>
    <w:rsid w:val="006260AD"/>
    <w:rPr>
      <w:color w:val="0563C1" w:themeColor="hyperlink"/>
      <w:u w:val="single"/>
    </w:rPr>
  </w:style>
  <w:style w:type="paragraph" w:styleId="NoSpacing">
    <w:name w:val="No Spacing"/>
    <w:uiPriority w:val="1"/>
    <w:qFormat/>
    <w:rsid w:val="006260AD"/>
    <w:pPr>
      <w:spacing w:after="0" w:line="240" w:lineRule="auto"/>
    </w:pPr>
  </w:style>
  <w:style w:type="paragraph" w:styleId="ListParagraph">
    <w:name w:val="List Paragraph"/>
    <w:basedOn w:val="Normal"/>
    <w:uiPriority w:val="34"/>
    <w:qFormat/>
    <w:rsid w:val="006260AD"/>
    <w:pPr>
      <w:ind w:left="720"/>
      <w:contextualSpacing/>
    </w:pPr>
  </w:style>
  <w:style w:type="paragraph" w:styleId="FootnoteText">
    <w:name w:val="footnote text"/>
    <w:basedOn w:val="Normal"/>
    <w:link w:val="FootnoteTextChar"/>
    <w:uiPriority w:val="99"/>
    <w:semiHidden/>
    <w:unhideWhenUsed/>
    <w:rsid w:val="00C81F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F66"/>
    <w:rPr>
      <w:sz w:val="20"/>
      <w:szCs w:val="20"/>
    </w:rPr>
  </w:style>
  <w:style w:type="character" w:styleId="FootnoteReference">
    <w:name w:val="footnote reference"/>
    <w:basedOn w:val="DefaultParagraphFont"/>
    <w:uiPriority w:val="99"/>
    <w:semiHidden/>
    <w:unhideWhenUsed/>
    <w:rsid w:val="00C81F66"/>
    <w:rPr>
      <w:vertAlign w:val="superscript"/>
    </w:rPr>
  </w:style>
  <w:style w:type="paragraph" w:styleId="Header">
    <w:name w:val="header"/>
    <w:basedOn w:val="Normal"/>
    <w:link w:val="HeaderChar"/>
    <w:uiPriority w:val="99"/>
    <w:unhideWhenUsed/>
    <w:rsid w:val="00F81440"/>
    <w:pPr>
      <w:tabs>
        <w:tab w:val="center" w:pos="4680"/>
        <w:tab w:val="right" w:pos="9360"/>
      </w:tabs>
      <w:spacing w:after="0" w:line="240" w:lineRule="auto"/>
    </w:pPr>
    <w:rPr>
      <w:rFonts w:ascii="Arial" w:eastAsia="Times New Roman" w:hAnsi="Arial" w:cs="Times New Roman"/>
      <w:sz w:val="20"/>
      <w:szCs w:val="20"/>
      <w:lang w:val="en-GB"/>
    </w:rPr>
  </w:style>
  <w:style w:type="character" w:customStyle="1" w:styleId="HeaderChar">
    <w:name w:val="Header Char"/>
    <w:basedOn w:val="DefaultParagraphFont"/>
    <w:link w:val="Header"/>
    <w:uiPriority w:val="99"/>
    <w:rsid w:val="00F81440"/>
    <w:rPr>
      <w:rFonts w:ascii="Arial" w:eastAsia="Times New Roman" w:hAnsi="Arial" w:cs="Times New Roman"/>
      <w:sz w:val="20"/>
      <w:szCs w:val="20"/>
      <w:lang w:val="en-GB"/>
    </w:rPr>
  </w:style>
  <w:style w:type="character" w:customStyle="1" w:styleId="Heading2Char">
    <w:name w:val="Heading 2 Char"/>
    <w:basedOn w:val="DefaultParagraphFont"/>
    <w:link w:val="Heading2"/>
    <w:uiPriority w:val="9"/>
    <w:rsid w:val="00AA68D6"/>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12139"/>
    <w:pPr>
      <w:spacing w:after="100"/>
      <w:ind w:left="220"/>
    </w:pPr>
  </w:style>
  <w:style w:type="paragraph" w:styleId="Footer">
    <w:name w:val="footer"/>
    <w:basedOn w:val="Normal"/>
    <w:link w:val="FooterChar"/>
    <w:uiPriority w:val="99"/>
    <w:unhideWhenUsed/>
    <w:rsid w:val="000A1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AE8"/>
  </w:style>
  <w:style w:type="paragraph" w:styleId="BalloonText">
    <w:name w:val="Balloon Text"/>
    <w:basedOn w:val="Normal"/>
    <w:link w:val="BalloonTextChar"/>
    <w:uiPriority w:val="99"/>
    <w:semiHidden/>
    <w:unhideWhenUsed/>
    <w:rsid w:val="00DA0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3F4"/>
    <w:rPr>
      <w:rFonts w:ascii="Tahoma" w:hAnsi="Tahoma" w:cs="Tahoma"/>
      <w:sz w:val="16"/>
      <w:szCs w:val="16"/>
    </w:rPr>
  </w:style>
  <w:style w:type="character" w:styleId="CommentReference">
    <w:name w:val="annotation reference"/>
    <w:basedOn w:val="DefaultParagraphFont"/>
    <w:uiPriority w:val="99"/>
    <w:semiHidden/>
    <w:unhideWhenUsed/>
    <w:rsid w:val="00DA03F4"/>
    <w:rPr>
      <w:sz w:val="16"/>
      <w:szCs w:val="16"/>
    </w:rPr>
  </w:style>
  <w:style w:type="paragraph" w:styleId="CommentText">
    <w:name w:val="annotation text"/>
    <w:basedOn w:val="Normal"/>
    <w:link w:val="CommentTextChar"/>
    <w:uiPriority w:val="99"/>
    <w:semiHidden/>
    <w:unhideWhenUsed/>
    <w:rsid w:val="00DA03F4"/>
    <w:pPr>
      <w:spacing w:line="240" w:lineRule="auto"/>
    </w:pPr>
    <w:rPr>
      <w:sz w:val="20"/>
      <w:szCs w:val="20"/>
    </w:rPr>
  </w:style>
  <w:style w:type="character" w:customStyle="1" w:styleId="CommentTextChar">
    <w:name w:val="Comment Text Char"/>
    <w:basedOn w:val="DefaultParagraphFont"/>
    <w:link w:val="CommentText"/>
    <w:uiPriority w:val="99"/>
    <w:semiHidden/>
    <w:rsid w:val="00DA03F4"/>
    <w:rPr>
      <w:sz w:val="20"/>
      <w:szCs w:val="20"/>
    </w:rPr>
  </w:style>
  <w:style w:type="paragraph" w:styleId="CommentSubject">
    <w:name w:val="annotation subject"/>
    <w:basedOn w:val="CommentText"/>
    <w:next w:val="CommentText"/>
    <w:link w:val="CommentSubjectChar"/>
    <w:uiPriority w:val="99"/>
    <w:semiHidden/>
    <w:unhideWhenUsed/>
    <w:rsid w:val="00DA03F4"/>
    <w:rPr>
      <w:b/>
      <w:bCs/>
    </w:rPr>
  </w:style>
  <w:style w:type="character" w:customStyle="1" w:styleId="CommentSubjectChar">
    <w:name w:val="Comment Subject Char"/>
    <w:basedOn w:val="CommentTextChar"/>
    <w:link w:val="CommentSubject"/>
    <w:uiPriority w:val="99"/>
    <w:semiHidden/>
    <w:rsid w:val="00DA03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EB99-0893-4F95-ACA8-04029BE6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Dimakatso Qocha</dc:creator>
  <cp:lastModifiedBy>Jeanette Mputle</cp:lastModifiedBy>
  <cp:revision>2</cp:revision>
  <dcterms:created xsi:type="dcterms:W3CDTF">2017-06-07T11:53:00Z</dcterms:created>
  <dcterms:modified xsi:type="dcterms:W3CDTF">2017-06-07T11:53:00Z</dcterms:modified>
</cp:coreProperties>
</file>